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92" w:rsidRPr="008C6087" w:rsidRDefault="00F8255B">
      <w:pPr>
        <w:spacing w:line="240" w:lineRule="auto"/>
        <w:rPr>
          <w:rFonts w:ascii="Lato" w:hAnsi="Lato"/>
          <w:szCs w:val="22"/>
        </w:rPr>
      </w:pPr>
      <w:bookmarkStart w:id="0" w:name="_GoBack"/>
      <w:bookmarkEnd w:id="0"/>
      <w:r w:rsidRPr="008C6087">
        <w:rPr>
          <w:rFonts w:ascii="Lato" w:hAnsi="Lato"/>
          <w:szCs w:val="22"/>
        </w:rPr>
        <w:t xml:space="preserve"> </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3A210C" w:rsidRDefault="003A210C">
      <w:pPr>
        <w:spacing w:line="240" w:lineRule="auto"/>
        <w:rPr>
          <w:rFonts w:ascii="Lato" w:hAnsi="Lato"/>
          <w:sz w:val="54"/>
          <w:szCs w:val="54"/>
        </w:rPr>
      </w:pPr>
    </w:p>
    <w:p w:rsidR="00721417" w:rsidRPr="008C6087" w:rsidRDefault="00721417">
      <w:pPr>
        <w:spacing w:line="240" w:lineRule="auto"/>
        <w:rPr>
          <w:rFonts w:ascii="Lato" w:hAnsi="Lato"/>
          <w:sz w:val="54"/>
          <w:szCs w:val="54"/>
        </w:rPr>
      </w:pPr>
    </w:p>
    <w:p w:rsidR="00305BE2" w:rsidRPr="00721417" w:rsidRDefault="00305BE2" w:rsidP="008C6087">
      <w:pPr>
        <w:tabs>
          <w:tab w:val="left" w:pos="2145"/>
        </w:tabs>
        <w:spacing w:line="240" w:lineRule="auto"/>
        <w:rPr>
          <w:rFonts w:ascii="Lato" w:eastAsia="Lato" w:hAnsi="Lato"/>
          <w:b/>
          <w:noProof/>
          <w:color w:val="FFFFFF"/>
          <w:sz w:val="54"/>
          <w:szCs w:val="54"/>
          <w:lang w:val="en-IE" w:eastAsia="en-IE"/>
        </w:rPr>
      </w:pPr>
      <w:r w:rsidRPr="00721417">
        <w:rPr>
          <w:rFonts w:ascii="Lato" w:eastAsia="Lato" w:hAnsi="Lato"/>
          <w:b/>
          <w:noProof/>
          <w:color w:val="FFFFFF"/>
          <w:sz w:val="54"/>
          <w:szCs w:val="54"/>
          <w:lang w:val="en-IE" w:eastAsia="en-IE"/>
        </w:rPr>
        <w:t>Retail Investor AIF Application Form Section 2 ORION</w:t>
      </w:r>
    </w:p>
    <w:p w:rsidR="00877692" w:rsidRPr="008C6087" w:rsidRDefault="00D66B95" w:rsidP="008C6087">
      <w:pPr>
        <w:tabs>
          <w:tab w:val="left" w:pos="2145"/>
        </w:tabs>
        <w:spacing w:line="240" w:lineRule="auto"/>
        <w:rPr>
          <w:rFonts w:ascii="Lato" w:eastAsia="Lato" w:hAnsi="Lato"/>
          <w:noProof/>
          <w:color w:val="FFFFFF"/>
          <w:sz w:val="54"/>
          <w:szCs w:val="54"/>
          <w:lang w:val="en-IE" w:eastAsia="en-IE"/>
        </w:rPr>
      </w:pPr>
      <w:r>
        <w:rPr>
          <w:rFonts w:ascii="Lato" w:eastAsia="Lato" w:hAnsi="Lato"/>
          <w:noProof/>
          <w:color w:val="FFFFFF"/>
          <w:sz w:val="54"/>
          <w:szCs w:val="54"/>
          <w:lang w:val="en-IE" w:eastAsia="en-IE"/>
        </w:rPr>
        <w:t xml:space="preserve">February </w:t>
      </w:r>
      <w:r w:rsidR="00672F4B">
        <w:rPr>
          <w:rFonts w:ascii="Lato" w:eastAsia="Lato" w:hAnsi="Lato"/>
          <w:noProof/>
          <w:color w:val="FFFFFF"/>
          <w:sz w:val="54"/>
          <w:szCs w:val="54"/>
          <w:lang w:val="en-IE" w:eastAsia="en-IE"/>
        </w:rPr>
        <w:t>2021</w:t>
      </w: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pPr>
    </w:p>
    <w:p w:rsidR="00877692" w:rsidRPr="008C6087" w:rsidRDefault="00877692">
      <w:pPr>
        <w:spacing w:line="240" w:lineRule="auto"/>
        <w:rPr>
          <w:rFonts w:ascii="Lato" w:hAnsi="Lato"/>
          <w:szCs w:val="22"/>
        </w:rPr>
        <w:sectPr w:rsidR="00877692" w:rsidRPr="008C6087">
          <w:headerReference w:type="even" r:id="rId10"/>
          <w:headerReference w:type="default" r:id="rId11"/>
          <w:footerReference w:type="even" r:id="rId12"/>
          <w:footerReference w:type="default" r:id="rId13"/>
          <w:headerReference w:type="first" r:id="rId14"/>
          <w:footerReference w:type="first" r:id="rId15"/>
          <w:pgSz w:w="11904" w:h="16834"/>
          <w:pgMar w:top="1440" w:right="1800" w:bottom="1440" w:left="1800" w:header="708" w:footer="708" w:gutter="0"/>
          <w:cols w:space="708"/>
        </w:sectPr>
      </w:pPr>
    </w:p>
    <w:p w:rsidR="00877692" w:rsidRPr="008C6087" w:rsidRDefault="00877692">
      <w:pPr>
        <w:spacing w:line="240" w:lineRule="auto"/>
        <w:jc w:val="center"/>
        <w:rPr>
          <w:rFonts w:ascii="Lato" w:hAnsi="Lato"/>
          <w:szCs w:val="22"/>
        </w:rPr>
      </w:pPr>
      <w:r w:rsidRPr="008C6087">
        <w:rPr>
          <w:rFonts w:ascii="Lato" w:hAnsi="Lato"/>
          <w:b/>
          <w:bCs/>
          <w:szCs w:val="22"/>
        </w:rPr>
        <w:lastRenderedPageBreak/>
        <w:t>SECTION 2 –PROSPECTUS</w:t>
      </w:r>
    </w:p>
    <w:p w:rsidR="00877692" w:rsidRPr="008C6087" w:rsidRDefault="00877692">
      <w:pPr>
        <w:spacing w:line="240" w:lineRule="auto"/>
        <w:jc w:val="center"/>
        <w:rPr>
          <w:rFonts w:ascii="Lato" w:hAnsi="Lato"/>
          <w:b/>
          <w:bCs/>
          <w:szCs w:val="22"/>
        </w:rPr>
      </w:pPr>
      <w:r w:rsidRPr="008C6087">
        <w:rPr>
          <w:rFonts w:ascii="Lato" w:hAnsi="Lato"/>
          <w:b/>
          <w:bCs/>
          <w:szCs w:val="22"/>
        </w:rPr>
        <w:t>Retail</w:t>
      </w:r>
      <w:r w:rsidR="00B1565D" w:rsidRPr="008C6087">
        <w:rPr>
          <w:rFonts w:ascii="Lato" w:hAnsi="Lato"/>
          <w:b/>
          <w:bCs/>
          <w:szCs w:val="22"/>
        </w:rPr>
        <w:t xml:space="preserve"> Investor AIF</w:t>
      </w:r>
    </w:p>
    <w:p w:rsidR="00877692" w:rsidRPr="008C6087" w:rsidRDefault="00877692">
      <w:pPr>
        <w:spacing w:line="240" w:lineRule="auto"/>
        <w:jc w:val="center"/>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Where information specified below is not included in the prospectus, this must be clearly explained in the accompanying documentation.</w:t>
      </w:r>
    </w:p>
    <w:p w:rsidR="00877692" w:rsidRPr="008C6087" w:rsidRDefault="00877692">
      <w:pPr>
        <w:spacing w:line="240" w:lineRule="auto"/>
        <w:ind w:left="-426"/>
        <w:jc w:val="both"/>
        <w:rPr>
          <w:rFonts w:ascii="Lato" w:hAnsi="Lato"/>
          <w:szCs w:val="22"/>
        </w:rPr>
      </w:pPr>
    </w:p>
    <w:p w:rsidR="00877692" w:rsidRPr="008C6087" w:rsidRDefault="00877692">
      <w:pPr>
        <w:spacing w:line="240" w:lineRule="auto"/>
        <w:ind w:left="-426"/>
        <w:jc w:val="both"/>
        <w:rPr>
          <w:rFonts w:ascii="Lato" w:hAnsi="Lato"/>
          <w:szCs w:val="22"/>
        </w:rPr>
      </w:pPr>
      <w:r w:rsidRPr="008C6087">
        <w:rPr>
          <w:rFonts w:ascii="Lato" w:hAnsi="Lato"/>
          <w:szCs w:val="22"/>
        </w:rPr>
        <w:t>Please complete the following by inserting the information requested and ticking the applicant column of boxes (to confirm compliance), unless otherwise indicated</w:t>
      </w:r>
    </w:p>
    <w:tbl>
      <w:tblPr>
        <w:tblW w:w="1149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7118"/>
        <w:gridCol w:w="691"/>
        <w:gridCol w:w="10"/>
        <w:gridCol w:w="42"/>
        <w:gridCol w:w="6"/>
        <w:gridCol w:w="174"/>
        <w:gridCol w:w="244"/>
        <w:gridCol w:w="324"/>
        <w:gridCol w:w="509"/>
        <w:gridCol w:w="167"/>
        <w:gridCol w:w="9"/>
        <w:gridCol w:w="47"/>
        <w:gridCol w:w="166"/>
        <w:gridCol w:w="11"/>
        <w:gridCol w:w="12"/>
        <w:gridCol w:w="12"/>
        <w:gridCol w:w="26"/>
        <w:gridCol w:w="399"/>
        <w:gridCol w:w="27"/>
        <w:gridCol w:w="113"/>
        <w:gridCol w:w="115"/>
        <w:gridCol w:w="107"/>
        <w:gridCol w:w="24"/>
        <w:gridCol w:w="6"/>
        <w:gridCol w:w="44"/>
        <w:gridCol w:w="11"/>
        <w:gridCol w:w="202"/>
        <w:gridCol w:w="21"/>
        <w:gridCol w:w="15"/>
        <w:gridCol w:w="29"/>
      </w:tblGrid>
      <w:tr w:rsidR="00AC467B" w:rsidRPr="008C6087" w:rsidTr="00E35ECB">
        <w:trPr>
          <w:gridAfter w:val="3"/>
          <w:wAfter w:w="319" w:type="dxa"/>
          <w:cantSplit/>
          <w:trHeight w:val="1286"/>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nil"/>
              <w:left w:val="nil"/>
              <w:bottom w:val="nil"/>
              <w:right w:val="nil"/>
            </w:tcBorders>
            <w:textDirection w:val="btLr"/>
          </w:tcPr>
          <w:p w:rsidR="00877692" w:rsidRPr="008C6087" w:rsidRDefault="00877692">
            <w:pPr>
              <w:pStyle w:val="BlockText"/>
              <w:rPr>
                <w:rFonts w:ascii="Lato" w:hAnsi="Lato"/>
                <w:szCs w:val="22"/>
              </w:rPr>
            </w:pPr>
            <w:r w:rsidRPr="008C6087">
              <w:rPr>
                <w:rFonts w:ascii="Lato" w:hAnsi="Lato"/>
                <w:szCs w:val="22"/>
              </w:rPr>
              <w:t>Applicant</w:t>
            </w:r>
          </w:p>
          <w:p w:rsidR="00877692" w:rsidRPr="008C6087" w:rsidRDefault="00877692">
            <w:pPr>
              <w:spacing w:line="240" w:lineRule="auto"/>
              <w:ind w:left="113" w:right="113"/>
              <w:rPr>
                <w:rFonts w:ascii="Lato" w:hAnsi="Lato"/>
                <w:szCs w:val="22"/>
              </w:rPr>
            </w:pPr>
          </w:p>
        </w:tc>
        <w:tc>
          <w:tcPr>
            <w:tcW w:w="230"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1640" w:type="dxa"/>
            <w:gridSpan w:val="4"/>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35" w:type="dxa"/>
            <w:gridSpan w:val="3"/>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543" w:type="dxa"/>
            <w:gridSpan w:val="6"/>
            <w:tcBorders>
              <w:top w:val="nil"/>
              <w:left w:val="nil"/>
              <w:bottom w:val="nil"/>
              <w:right w:val="nil"/>
            </w:tcBorders>
            <w:textDirection w:val="btLr"/>
          </w:tcPr>
          <w:p w:rsidR="00877692" w:rsidRPr="008C6087" w:rsidRDefault="00877692">
            <w:pPr>
              <w:spacing w:line="240" w:lineRule="auto"/>
              <w:ind w:left="113" w:right="113"/>
              <w:rPr>
                <w:rFonts w:ascii="Lato" w:hAnsi="Lato"/>
                <w:b/>
                <w:bCs/>
                <w:szCs w:val="22"/>
              </w:rPr>
            </w:pPr>
            <w:r w:rsidRPr="008C6087">
              <w:rPr>
                <w:rFonts w:ascii="Lato" w:hAnsi="Lato"/>
                <w:b/>
                <w:bCs/>
                <w:szCs w:val="22"/>
              </w:rPr>
              <w:t>Applicant</w:t>
            </w:r>
          </w:p>
        </w:tc>
        <w:tc>
          <w:tcPr>
            <w:tcW w:w="228" w:type="dxa"/>
            <w:gridSpan w:val="2"/>
            <w:tcBorders>
              <w:top w:val="nil"/>
              <w:left w:val="nil"/>
              <w:bottom w:val="nil"/>
              <w:right w:val="nil"/>
            </w:tcBorders>
            <w:textDirection w:val="btLr"/>
          </w:tcPr>
          <w:p w:rsidR="00877692" w:rsidRPr="008C6087" w:rsidRDefault="00877692">
            <w:pPr>
              <w:spacing w:line="240" w:lineRule="auto"/>
              <w:ind w:left="113" w:right="113"/>
              <w:rPr>
                <w:rFonts w:ascii="Lato" w:hAnsi="Lato"/>
                <w:szCs w:val="22"/>
              </w:rPr>
            </w:pPr>
          </w:p>
        </w:tc>
        <w:tc>
          <w:tcPr>
            <w:tcW w:w="649" w:type="dxa"/>
            <w:gridSpan w:val="6"/>
            <w:tcBorders>
              <w:top w:val="nil"/>
              <w:left w:val="nil"/>
              <w:bottom w:val="nil"/>
              <w:right w:val="nil"/>
            </w:tcBorders>
            <w:textDirection w:val="btLr"/>
          </w:tcPr>
          <w:p w:rsidR="00877692" w:rsidRPr="008C6087" w:rsidRDefault="00877692" w:rsidP="00CE154D">
            <w:pPr>
              <w:pStyle w:val="Heading7"/>
              <w:jc w:val="center"/>
              <w:rPr>
                <w:rFonts w:ascii="Lato" w:hAnsi="Lato"/>
                <w:szCs w:val="22"/>
              </w:rPr>
            </w:pPr>
          </w:p>
        </w:tc>
      </w:tr>
      <w:tr w:rsidR="00AC467B" w:rsidRPr="008C6087" w:rsidTr="00E35ECB">
        <w:trPr>
          <w:gridAfter w:val="3"/>
          <w:wAfter w:w="319" w:type="dxa"/>
        </w:trPr>
        <w:tc>
          <w:tcPr>
            <w:tcW w:w="1107"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5479" w:type="dxa"/>
            <w:tcBorders>
              <w:top w:val="nil"/>
              <w:left w:val="nil"/>
              <w:bottom w:val="single" w:sz="4" w:space="0" w:color="auto"/>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pStyle w:val="Heading8"/>
              <w:rPr>
                <w:rFonts w:ascii="Lato" w:hAnsi="Lato"/>
                <w:sz w:val="22"/>
                <w:szCs w:val="22"/>
              </w:rPr>
            </w:pPr>
            <w:r w:rsidRPr="008C6087">
              <w:rPr>
                <w:rFonts w:ascii="Lato" w:hAnsi="Lato"/>
                <w:sz w:val="22"/>
                <w:szCs w:val="22"/>
              </w:rPr>
              <w:t>Page</w:t>
            </w:r>
          </w:p>
        </w:tc>
        <w:tc>
          <w:tcPr>
            <w:tcW w:w="230"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b/>
                <w:bCs/>
                <w:szCs w:val="22"/>
              </w:rPr>
            </w:pPr>
            <w:r w:rsidRPr="008C6087">
              <w:rPr>
                <w:rFonts w:ascii="Lato" w:hAnsi="Lato"/>
                <w:b/>
                <w:bCs/>
                <w:szCs w:val="22"/>
              </w:rPr>
              <w:t>Paragraph</w:t>
            </w:r>
          </w:p>
        </w:tc>
        <w:tc>
          <w:tcPr>
            <w:tcW w:w="235" w:type="dxa"/>
            <w:gridSpan w:val="3"/>
            <w:tcBorders>
              <w:top w:val="nil"/>
              <w:left w:val="nil"/>
              <w:bottom w:val="nil"/>
              <w:right w:val="nil"/>
            </w:tcBorders>
          </w:tcPr>
          <w:p w:rsidR="00877692" w:rsidRPr="008C6087" w:rsidRDefault="00877692">
            <w:pPr>
              <w:spacing w:line="240" w:lineRule="auto"/>
              <w:rPr>
                <w:rFonts w:ascii="Lato" w:hAnsi="Lato"/>
                <w:b/>
                <w:bCs/>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b/>
                <w:bCs/>
                <w:szCs w:val="22"/>
              </w:rPr>
            </w:pPr>
          </w:p>
        </w:tc>
      </w:tr>
      <w:tr w:rsidR="00AC467B" w:rsidRPr="008C6087" w:rsidTr="00E35ECB">
        <w:trPr>
          <w:gridAfter w:val="3"/>
          <w:wAfter w:w="319"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2.1</w:t>
            </w:r>
          </w:p>
        </w:tc>
        <w:tc>
          <w:tcPr>
            <w:tcW w:w="5479" w:type="dxa"/>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 xml:space="preserve">Information concerning the </w:t>
            </w:r>
            <w:r w:rsidR="00B42709" w:rsidRPr="008C6087">
              <w:rPr>
                <w:rFonts w:ascii="Lato" w:hAnsi="Lato"/>
                <w:szCs w:val="22"/>
              </w:rPr>
              <w:t>R</w:t>
            </w:r>
            <w:r w:rsidR="007D05C6" w:rsidRPr="008C6087">
              <w:rPr>
                <w:rFonts w:ascii="Lato" w:hAnsi="Lato"/>
                <w:szCs w:val="22"/>
              </w:rPr>
              <w:t xml:space="preserve">etail </w:t>
            </w:r>
            <w:r w:rsidR="00B42709" w:rsidRPr="008C6087">
              <w:rPr>
                <w:rFonts w:ascii="Lato" w:hAnsi="Lato"/>
                <w:szCs w:val="22"/>
              </w:rPr>
              <w:t>I</w:t>
            </w:r>
            <w:r w:rsidR="007D05C6" w:rsidRPr="008C6087">
              <w:rPr>
                <w:rFonts w:ascii="Lato" w:hAnsi="Lato"/>
                <w:szCs w:val="22"/>
              </w:rPr>
              <w:t xml:space="preserve">nvestor </w:t>
            </w:r>
            <w:r w:rsidR="00B42709" w:rsidRPr="008C6087">
              <w:rPr>
                <w:rFonts w:ascii="Lato" w:hAnsi="Lato"/>
                <w:szCs w:val="22"/>
              </w:rPr>
              <w:t>AIF</w:t>
            </w:r>
          </w:p>
        </w:tc>
        <w:tc>
          <w:tcPr>
            <w:tcW w:w="1060"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5479" w:type="dxa"/>
            <w:tcBorders>
              <w:top w:val="single" w:sz="4" w:space="0" w:color="auto"/>
              <w:left w:val="nil"/>
              <w:bottom w:val="nil"/>
              <w:right w:val="nil"/>
            </w:tcBorders>
          </w:tcPr>
          <w:p w:rsidR="00877692" w:rsidRPr="008C6087" w:rsidRDefault="00877692">
            <w:pPr>
              <w:spacing w:line="240" w:lineRule="auto"/>
              <w:rPr>
                <w:rFonts w:ascii="Lato" w:hAnsi="Lato"/>
                <w:b/>
                <w:bCs/>
                <w:szCs w:val="22"/>
              </w:rPr>
            </w:pP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nil"/>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1060"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2.1.1</w:t>
            </w:r>
          </w:p>
        </w:tc>
        <w:tc>
          <w:tcPr>
            <w:tcW w:w="5479" w:type="dxa"/>
            <w:tcBorders>
              <w:top w:val="nil"/>
              <w:left w:val="nil"/>
              <w:bottom w:val="nil"/>
              <w:right w:val="single" w:sz="4" w:space="0" w:color="auto"/>
            </w:tcBorders>
          </w:tcPr>
          <w:p w:rsidR="00877692" w:rsidRPr="008C6087" w:rsidRDefault="00877692" w:rsidP="007D05C6">
            <w:pPr>
              <w:spacing w:line="240" w:lineRule="auto"/>
              <w:rPr>
                <w:rFonts w:ascii="Lato" w:hAnsi="Lato"/>
                <w:szCs w:val="22"/>
              </w:rPr>
            </w:pPr>
            <w:r w:rsidRPr="008C6087">
              <w:rPr>
                <w:rFonts w:ascii="Lato" w:hAnsi="Lato"/>
                <w:szCs w:val="22"/>
              </w:rPr>
              <w:t xml:space="preserve">Name of </w:t>
            </w:r>
            <w:r w:rsidR="00221423" w:rsidRPr="008C6087">
              <w:rPr>
                <w:rFonts w:ascii="Lato" w:hAnsi="Lato"/>
                <w:szCs w:val="22"/>
              </w:rPr>
              <w:t>R</w:t>
            </w:r>
            <w:r w:rsidR="007D05C6" w:rsidRPr="008C6087">
              <w:rPr>
                <w:rFonts w:ascii="Lato" w:hAnsi="Lato"/>
                <w:szCs w:val="22"/>
              </w:rPr>
              <w:t xml:space="preserve">etail Investor </w:t>
            </w:r>
            <w:r w:rsidR="00221423" w:rsidRPr="008C6087">
              <w:rPr>
                <w:rFonts w:ascii="Lato" w:hAnsi="Lato"/>
                <w:szCs w:val="22"/>
              </w:rPr>
              <w:t>AIF</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pPr>
              <w:spacing w:line="240" w:lineRule="auto"/>
              <w:rPr>
                <w:rFonts w:ascii="Lato" w:hAnsi="Lato"/>
                <w:szCs w:val="22"/>
              </w:rPr>
            </w:pPr>
            <w:r>
              <w:rPr>
                <w:rFonts w:ascii="Lato" w:hAnsi="Lato"/>
                <w:szCs w:val="22"/>
              </w:rPr>
              <w:t>2.1.2</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Pr>
                <w:rFonts w:ascii="Lato" w:hAnsi="Lato"/>
                <w:szCs w:val="22"/>
              </w:rPr>
              <w:t>Form in Law on cover page (tick as appropriate)</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Investment Company with Variable Capital</w:t>
            </w:r>
          </w:p>
        </w:tc>
        <w:tc>
          <w:tcPr>
            <w:tcW w:w="1060"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Unit Trust</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ILP</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CCF</w:t>
            </w:r>
          </w:p>
        </w:tc>
        <w:tc>
          <w:tcPr>
            <w:tcW w:w="1060"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nil"/>
              <w:left w:val="nil"/>
              <w:bottom w:val="nil"/>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96BA0" w:rsidRPr="008C6087" w:rsidTr="00E35ECB">
        <w:trPr>
          <w:gridAfter w:val="3"/>
          <w:wAfter w:w="319" w:type="dxa"/>
        </w:trPr>
        <w:tc>
          <w:tcPr>
            <w:tcW w:w="1107" w:type="dxa"/>
            <w:tcBorders>
              <w:top w:val="nil"/>
              <w:left w:val="nil"/>
              <w:bottom w:val="nil"/>
              <w:right w:val="nil"/>
            </w:tcBorders>
          </w:tcPr>
          <w:p w:rsidR="00A96BA0" w:rsidRPr="008C6087" w:rsidRDefault="00A96BA0">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A96BA0" w:rsidRPr="008C6087" w:rsidRDefault="00A96BA0" w:rsidP="00B7175D">
            <w:pPr>
              <w:spacing w:line="240" w:lineRule="auto"/>
              <w:rPr>
                <w:rFonts w:ascii="Lato" w:hAnsi="Lato"/>
                <w:szCs w:val="22"/>
              </w:rPr>
            </w:pPr>
            <w:r w:rsidRPr="008C6087">
              <w:rPr>
                <w:rFonts w:ascii="Lato" w:hAnsi="Lato"/>
                <w:szCs w:val="22"/>
              </w:rPr>
              <w:t>I</w:t>
            </w:r>
            <w:r w:rsidR="00A83F62" w:rsidRPr="008C6087">
              <w:rPr>
                <w:rFonts w:ascii="Lato" w:hAnsi="Lato"/>
                <w:szCs w:val="22"/>
              </w:rPr>
              <w:t xml:space="preserve">rish </w:t>
            </w:r>
            <w:r w:rsidRPr="008C6087">
              <w:rPr>
                <w:rFonts w:ascii="Lato" w:hAnsi="Lato"/>
                <w:szCs w:val="22"/>
              </w:rPr>
              <w:t>C</w:t>
            </w:r>
            <w:r w:rsidR="00A83F62" w:rsidRPr="008C6087">
              <w:rPr>
                <w:rFonts w:ascii="Lato" w:hAnsi="Lato"/>
                <w:szCs w:val="22"/>
              </w:rPr>
              <w:t xml:space="preserve">ollective </w:t>
            </w:r>
            <w:r w:rsidR="00B7175D" w:rsidRPr="008C6087">
              <w:rPr>
                <w:rFonts w:ascii="Lato" w:hAnsi="Lato"/>
                <w:szCs w:val="22"/>
              </w:rPr>
              <w:t>Asset</w:t>
            </w:r>
            <w:r w:rsidR="0080036D" w:rsidRPr="008C6087">
              <w:rPr>
                <w:rFonts w:ascii="Lato" w:hAnsi="Lato"/>
                <w:szCs w:val="22"/>
              </w:rPr>
              <w:t>-</w:t>
            </w:r>
            <w:r w:rsidR="00B7175D" w:rsidRPr="008C6087">
              <w:rPr>
                <w:rFonts w:ascii="Lato" w:hAnsi="Lato"/>
                <w:szCs w:val="22"/>
              </w:rPr>
              <w:t xml:space="preserve">management </w:t>
            </w:r>
            <w:r w:rsidRPr="008C6087">
              <w:rPr>
                <w:rFonts w:ascii="Lato" w:hAnsi="Lato"/>
                <w:szCs w:val="22"/>
              </w:rPr>
              <w:t>V</w:t>
            </w:r>
            <w:r w:rsidR="00A83F62" w:rsidRPr="008C6087">
              <w:rPr>
                <w:rFonts w:ascii="Lato" w:hAnsi="Lato"/>
                <w:szCs w:val="22"/>
              </w:rPr>
              <w:t>ehicle (‘ICAV’)</w:t>
            </w:r>
          </w:p>
        </w:tc>
        <w:tc>
          <w:tcPr>
            <w:tcW w:w="1060" w:type="dxa"/>
            <w:gridSpan w:val="2"/>
            <w:tcBorders>
              <w:top w:val="nil"/>
              <w:left w:val="nil"/>
              <w:bottom w:val="nil"/>
              <w:right w:val="nil"/>
            </w:tcBorders>
          </w:tcPr>
          <w:p w:rsidR="00A96BA0" w:rsidRPr="008C6087" w:rsidRDefault="00A96BA0">
            <w:pPr>
              <w:spacing w:line="240" w:lineRule="auto"/>
              <w:rPr>
                <w:rFonts w:ascii="Lato" w:hAnsi="Lato"/>
                <w:szCs w:val="22"/>
              </w:rPr>
            </w:pPr>
          </w:p>
        </w:tc>
        <w:tc>
          <w:tcPr>
            <w:tcW w:w="230" w:type="dxa"/>
            <w:gridSpan w:val="3"/>
            <w:tcBorders>
              <w:top w:val="nil"/>
              <w:left w:val="nil"/>
              <w:bottom w:val="nil"/>
              <w:right w:val="nil"/>
            </w:tcBorders>
          </w:tcPr>
          <w:p w:rsidR="00A96BA0" w:rsidRPr="008C6087" w:rsidRDefault="00A96BA0">
            <w:pPr>
              <w:spacing w:line="240" w:lineRule="auto"/>
              <w:rPr>
                <w:rFonts w:ascii="Lato" w:hAnsi="Lato"/>
                <w:szCs w:val="22"/>
              </w:rPr>
            </w:pPr>
          </w:p>
        </w:tc>
        <w:tc>
          <w:tcPr>
            <w:tcW w:w="1640" w:type="dxa"/>
            <w:gridSpan w:val="4"/>
            <w:tcBorders>
              <w:top w:val="nil"/>
              <w:left w:val="nil"/>
              <w:bottom w:val="nil"/>
              <w:right w:val="nil"/>
            </w:tcBorders>
          </w:tcPr>
          <w:p w:rsidR="00A96BA0" w:rsidRPr="008C6087" w:rsidRDefault="00A96BA0">
            <w:pPr>
              <w:spacing w:line="240" w:lineRule="auto"/>
              <w:rPr>
                <w:rFonts w:ascii="Lato" w:hAnsi="Lato"/>
                <w:szCs w:val="22"/>
              </w:rPr>
            </w:pPr>
          </w:p>
        </w:tc>
        <w:tc>
          <w:tcPr>
            <w:tcW w:w="235" w:type="dxa"/>
            <w:gridSpan w:val="3"/>
            <w:tcBorders>
              <w:top w:val="nil"/>
              <w:left w:val="nil"/>
              <w:bottom w:val="nil"/>
              <w:right w:val="single" w:sz="4" w:space="0" w:color="auto"/>
            </w:tcBorders>
          </w:tcPr>
          <w:p w:rsidR="00A96BA0" w:rsidRPr="008C6087" w:rsidRDefault="00A96BA0">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A96BA0" w:rsidRPr="008C6087" w:rsidRDefault="00A96BA0">
            <w:pPr>
              <w:spacing w:line="240" w:lineRule="auto"/>
              <w:rPr>
                <w:rFonts w:ascii="Lato" w:hAnsi="Lato"/>
                <w:szCs w:val="22"/>
              </w:rPr>
            </w:pPr>
          </w:p>
        </w:tc>
        <w:tc>
          <w:tcPr>
            <w:tcW w:w="228" w:type="dxa"/>
            <w:gridSpan w:val="2"/>
            <w:tcBorders>
              <w:top w:val="nil"/>
              <w:left w:val="single" w:sz="4" w:space="0" w:color="auto"/>
              <w:bottom w:val="nil"/>
              <w:right w:val="nil"/>
            </w:tcBorders>
          </w:tcPr>
          <w:p w:rsidR="00A96BA0" w:rsidRPr="008C6087" w:rsidRDefault="00A96BA0">
            <w:pPr>
              <w:spacing w:line="240" w:lineRule="auto"/>
              <w:rPr>
                <w:rFonts w:ascii="Lato" w:hAnsi="Lato"/>
                <w:szCs w:val="22"/>
              </w:rPr>
            </w:pPr>
          </w:p>
        </w:tc>
        <w:tc>
          <w:tcPr>
            <w:tcW w:w="649" w:type="dxa"/>
            <w:gridSpan w:val="6"/>
            <w:tcBorders>
              <w:top w:val="nil"/>
              <w:left w:val="nil"/>
              <w:bottom w:val="nil"/>
              <w:right w:val="nil"/>
            </w:tcBorders>
          </w:tcPr>
          <w:p w:rsidR="00A96BA0" w:rsidRPr="008C6087" w:rsidRDefault="00A96BA0">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2.1.3</w:t>
            </w:r>
          </w:p>
        </w:tc>
        <w:tc>
          <w:tcPr>
            <w:tcW w:w="5479" w:type="dxa"/>
            <w:tcBorders>
              <w:top w:val="nil"/>
              <w:left w:val="nil"/>
              <w:bottom w:val="nil"/>
              <w:right w:val="single" w:sz="4" w:space="0" w:color="auto"/>
            </w:tcBorders>
          </w:tcPr>
          <w:p w:rsidR="00922B26" w:rsidRPr="008C6087" w:rsidRDefault="00922B26" w:rsidP="0068485A">
            <w:pPr>
              <w:spacing w:line="240" w:lineRule="auto"/>
              <w:rPr>
                <w:rFonts w:ascii="Lato" w:hAnsi="Lato"/>
                <w:szCs w:val="22"/>
              </w:rPr>
            </w:pPr>
            <w:r w:rsidRPr="008C6087">
              <w:rPr>
                <w:rFonts w:ascii="Lato" w:hAnsi="Lato"/>
                <w:szCs w:val="22"/>
              </w:rPr>
              <w:t xml:space="preserve">Date of establishment/incorporation of the </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Retail Investor AIF</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p>
        </w:tc>
        <w:tc>
          <w:tcPr>
            <w:tcW w:w="5479" w:type="dxa"/>
            <w:tcBorders>
              <w:top w:val="nil"/>
              <w:left w:val="nil"/>
              <w:bottom w:val="nil"/>
              <w:right w:val="nil"/>
            </w:tcBorders>
          </w:tcPr>
          <w:p w:rsidR="00922B26" w:rsidRPr="008C6087" w:rsidRDefault="00922B26">
            <w:pPr>
              <w:spacing w:line="240" w:lineRule="auto"/>
              <w:rPr>
                <w:rFonts w:ascii="Lato" w:hAnsi="Lato"/>
                <w:szCs w:val="22"/>
              </w:rPr>
            </w:pPr>
          </w:p>
        </w:tc>
        <w:tc>
          <w:tcPr>
            <w:tcW w:w="1060" w:type="dxa"/>
            <w:gridSpan w:val="2"/>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0"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1640" w:type="dxa"/>
            <w:gridSpan w:val="4"/>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35" w:type="dxa"/>
            <w:gridSpan w:val="3"/>
            <w:tcBorders>
              <w:top w:val="nil"/>
              <w:left w:val="nil"/>
              <w:bottom w:val="nil"/>
              <w:right w:val="nil"/>
            </w:tcBorders>
          </w:tcPr>
          <w:p w:rsidR="00922B26" w:rsidRPr="008C6087" w:rsidRDefault="00922B26">
            <w:pPr>
              <w:spacing w:line="240" w:lineRule="auto"/>
              <w:rPr>
                <w:rFonts w:ascii="Lato" w:hAnsi="Lato"/>
                <w:szCs w:val="22"/>
              </w:rPr>
            </w:pPr>
          </w:p>
        </w:tc>
        <w:tc>
          <w:tcPr>
            <w:tcW w:w="543" w:type="dxa"/>
            <w:gridSpan w:val="6"/>
            <w:tcBorders>
              <w:top w:val="nil"/>
              <w:left w:val="nil"/>
              <w:bottom w:val="single" w:sz="4" w:space="0" w:color="auto"/>
              <w:right w:val="nil"/>
            </w:tcBorders>
          </w:tcPr>
          <w:p w:rsidR="00922B26" w:rsidRPr="008C6087" w:rsidRDefault="00922B26">
            <w:pPr>
              <w:spacing w:line="240" w:lineRule="auto"/>
              <w:rPr>
                <w:rFonts w:ascii="Lato" w:hAnsi="Lato"/>
                <w:szCs w:val="22"/>
              </w:rPr>
            </w:pPr>
          </w:p>
        </w:tc>
        <w:tc>
          <w:tcPr>
            <w:tcW w:w="228" w:type="dxa"/>
            <w:gridSpan w:val="2"/>
            <w:tcBorders>
              <w:top w:val="nil"/>
              <w:left w:val="nil"/>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922B26" w:rsidRPr="008C6087" w:rsidRDefault="00922B26">
            <w:pPr>
              <w:spacing w:line="240" w:lineRule="auto"/>
              <w:rPr>
                <w:rFonts w:ascii="Lato" w:hAnsi="Lato"/>
                <w:szCs w:val="22"/>
              </w:rPr>
            </w:pPr>
            <w:r w:rsidRPr="008C6087">
              <w:rPr>
                <w:rFonts w:ascii="Lato" w:hAnsi="Lato"/>
                <w:szCs w:val="22"/>
              </w:rPr>
              <w:t>2.1.4</w:t>
            </w:r>
          </w:p>
        </w:tc>
        <w:tc>
          <w:tcPr>
            <w:tcW w:w="5479" w:type="dxa"/>
            <w:tcBorders>
              <w:top w:val="nil"/>
              <w:left w:val="nil"/>
              <w:bottom w:val="nil"/>
              <w:right w:val="single" w:sz="4" w:space="0" w:color="auto"/>
            </w:tcBorders>
          </w:tcPr>
          <w:p w:rsidR="00922B26" w:rsidRPr="008C6087" w:rsidRDefault="00922B26">
            <w:pPr>
              <w:spacing w:line="240" w:lineRule="auto"/>
              <w:rPr>
                <w:rFonts w:ascii="Lato" w:hAnsi="Lato"/>
                <w:szCs w:val="22"/>
              </w:rPr>
            </w:pPr>
            <w:r w:rsidRPr="008C6087">
              <w:rPr>
                <w:rFonts w:ascii="Lato" w:hAnsi="Lato"/>
                <w:szCs w:val="22"/>
              </w:rPr>
              <w:t>Give an indication of duration, if limited</w:t>
            </w:r>
          </w:p>
        </w:tc>
        <w:tc>
          <w:tcPr>
            <w:tcW w:w="1060" w:type="dxa"/>
            <w:gridSpan w:val="2"/>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922B26" w:rsidRPr="008C6087" w:rsidRDefault="00922B26">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922B26" w:rsidRPr="008C6087" w:rsidRDefault="00922B26">
            <w:pPr>
              <w:spacing w:line="240" w:lineRule="auto"/>
              <w:rPr>
                <w:rFonts w:ascii="Lato" w:hAnsi="Lato"/>
                <w:szCs w:val="22"/>
              </w:rPr>
            </w:pPr>
          </w:p>
        </w:tc>
        <w:tc>
          <w:tcPr>
            <w:tcW w:w="228" w:type="dxa"/>
            <w:gridSpan w:val="2"/>
            <w:tcBorders>
              <w:top w:val="nil"/>
              <w:left w:val="single" w:sz="4" w:space="0" w:color="auto"/>
              <w:bottom w:val="nil"/>
              <w:right w:val="nil"/>
            </w:tcBorders>
          </w:tcPr>
          <w:p w:rsidR="00922B26" w:rsidRPr="008C6087" w:rsidRDefault="00922B26">
            <w:pPr>
              <w:spacing w:line="240" w:lineRule="auto"/>
              <w:rPr>
                <w:rFonts w:ascii="Lato" w:hAnsi="Lato"/>
                <w:szCs w:val="22"/>
              </w:rPr>
            </w:pPr>
          </w:p>
        </w:tc>
        <w:tc>
          <w:tcPr>
            <w:tcW w:w="649" w:type="dxa"/>
            <w:gridSpan w:val="6"/>
            <w:tcBorders>
              <w:top w:val="nil"/>
              <w:left w:val="nil"/>
              <w:bottom w:val="nil"/>
              <w:right w:val="nil"/>
            </w:tcBorders>
          </w:tcPr>
          <w:p w:rsidR="00922B26" w:rsidRPr="008C6087" w:rsidRDefault="00922B26">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5479" w:type="dxa"/>
            <w:tcBorders>
              <w:top w:val="nil"/>
              <w:left w:val="nil"/>
              <w:bottom w:val="nil"/>
              <w:right w:val="nil"/>
            </w:tcBorders>
          </w:tcPr>
          <w:p w:rsidR="00877692" w:rsidRPr="008C6087" w:rsidRDefault="00877692">
            <w:pPr>
              <w:spacing w:line="240" w:lineRule="auto"/>
              <w:rPr>
                <w:rFonts w:ascii="Lato" w:hAnsi="Lato"/>
                <w:szCs w:val="22"/>
              </w:rPr>
            </w:pPr>
          </w:p>
          <w:p w:rsidR="006F747C" w:rsidRPr="008C6087" w:rsidRDefault="006F747C">
            <w:pPr>
              <w:spacing w:line="240" w:lineRule="auto"/>
              <w:rPr>
                <w:rFonts w:ascii="Lato" w:hAnsi="Lato"/>
                <w:szCs w:val="22"/>
                <w:u w:val="single"/>
              </w:rPr>
            </w:pPr>
            <w:r w:rsidRPr="008C6087">
              <w:rPr>
                <w:rFonts w:ascii="Lato" w:hAnsi="Lato"/>
                <w:szCs w:val="22"/>
                <w:u w:val="single"/>
              </w:rPr>
              <w:t>Investment Company</w:t>
            </w:r>
            <w:r w:rsidR="00A96BA0" w:rsidRPr="008C6087">
              <w:rPr>
                <w:rFonts w:ascii="Lato" w:hAnsi="Lato"/>
                <w:szCs w:val="22"/>
                <w:u w:val="single"/>
              </w:rPr>
              <w:t>/ICAV</w:t>
            </w:r>
          </w:p>
        </w:tc>
        <w:tc>
          <w:tcPr>
            <w:tcW w:w="1060"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5"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2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877692" w:rsidRPr="008C6087" w:rsidRDefault="00877692"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5</w:t>
            </w:r>
          </w:p>
        </w:tc>
        <w:tc>
          <w:tcPr>
            <w:tcW w:w="5479" w:type="dxa"/>
            <w:tcBorders>
              <w:top w:val="nil"/>
              <w:left w:val="nil"/>
              <w:bottom w:val="nil"/>
              <w:right w:val="single" w:sz="4" w:space="0" w:color="auto"/>
            </w:tcBorders>
          </w:tcPr>
          <w:p w:rsidR="00877692" w:rsidRPr="008C6087" w:rsidRDefault="00877692" w:rsidP="0068485A">
            <w:pPr>
              <w:spacing w:line="240" w:lineRule="auto"/>
              <w:rPr>
                <w:rFonts w:ascii="Lato" w:hAnsi="Lato"/>
                <w:szCs w:val="22"/>
              </w:rPr>
            </w:pPr>
            <w:r w:rsidRPr="008C6087">
              <w:rPr>
                <w:rFonts w:ascii="Lato" w:hAnsi="Lato"/>
                <w:szCs w:val="22"/>
              </w:rPr>
              <w:t>Registered Office</w:t>
            </w:r>
            <w:r w:rsidR="00ED171E" w:rsidRPr="008C6087">
              <w:rPr>
                <w:rFonts w:ascii="Lato" w:hAnsi="Lato"/>
                <w:szCs w:val="22"/>
              </w:rPr>
              <w:t xml:space="preserve"> in the case of an Investment </w:t>
            </w:r>
          </w:p>
        </w:tc>
        <w:tc>
          <w:tcPr>
            <w:tcW w:w="1060"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2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649"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r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CE6D7B" w:rsidRPr="008C6087" w:rsidRDefault="00CE6D7B">
            <w:pPr>
              <w:spacing w:line="240" w:lineRule="auto"/>
              <w:rPr>
                <w:rFonts w:ascii="Lato" w:hAnsi="Lato"/>
                <w:szCs w:val="22"/>
              </w:rPr>
            </w:pPr>
          </w:p>
        </w:tc>
        <w:tc>
          <w:tcPr>
            <w:tcW w:w="5479" w:type="dxa"/>
            <w:tcBorders>
              <w:top w:val="nil"/>
              <w:left w:val="nil"/>
              <w:bottom w:val="nil"/>
              <w:right w:val="nil"/>
            </w:tcBorders>
          </w:tcPr>
          <w:p w:rsidR="00CE6D7B" w:rsidRPr="008C6087" w:rsidRDefault="00CE6D7B">
            <w:pPr>
              <w:spacing w:line="240" w:lineRule="auto"/>
              <w:rPr>
                <w:rFonts w:ascii="Lato" w:hAnsi="Lato"/>
                <w:szCs w:val="22"/>
              </w:rPr>
            </w:pPr>
          </w:p>
        </w:tc>
        <w:tc>
          <w:tcPr>
            <w:tcW w:w="1060" w:type="dxa"/>
            <w:gridSpan w:val="2"/>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0"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1640" w:type="dxa"/>
            <w:gridSpan w:val="4"/>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35" w:type="dxa"/>
            <w:gridSpan w:val="3"/>
            <w:tcBorders>
              <w:top w:val="nil"/>
              <w:left w:val="nil"/>
              <w:bottom w:val="nil"/>
              <w:right w:val="nil"/>
            </w:tcBorders>
          </w:tcPr>
          <w:p w:rsidR="00CE6D7B" w:rsidRPr="008C6087" w:rsidRDefault="00CE6D7B">
            <w:pPr>
              <w:spacing w:line="240" w:lineRule="auto"/>
              <w:rPr>
                <w:rFonts w:ascii="Lato" w:hAnsi="Lato"/>
                <w:szCs w:val="22"/>
              </w:rPr>
            </w:pPr>
          </w:p>
        </w:tc>
        <w:tc>
          <w:tcPr>
            <w:tcW w:w="543" w:type="dxa"/>
            <w:gridSpan w:val="6"/>
            <w:tcBorders>
              <w:top w:val="nil"/>
              <w:left w:val="nil"/>
              <w:bottom w:val="single" w:sz="4" w:space="0" w:color="auto"/>
              <w:right w:val="nil"/>
            </w:tcBorders>
          </w:tcPr>
          <w:p w:rsidR="00CE6D7B" w:rsidRPr="008C6087" w:rsidRDefault="00CE6D7B">
            <w:pPr>
              <w:spacing w:line="240" w:lineRule="auto"/>
              <w:rPr>
                <w:rFonts w:ascii="Lato" w:hAnsi="Lato"/>
                <w:szCs w:val="22"/>
              </w:rPr>
            </w:pPr>
          </w:p>
        </w:tc>
        <w:tc>
          <w:tcPr>
            <w:tcW w:w="228" w:type="dxa"/>
            <w:gridSpan w:val="2"/>
            <w:tcBorders>
              <w:top w:val="nil"/>
              <w:left w:val="nil"/>
              <w:bottom w:val="nil"/>
              <w:right w:val="nil"/>
            </w:tcBorders>
          </w:tcPr>
          <w:p w:rsidR="00CE6D7B" w:rsidRPr="008C6087" w:rsidRDefault="00CE6D7B">
            <w:pPr>
              <w:spacing w:line="240" w:lineRule="auto"/>
              <w:rPr>
                <w:rFonts w:ascii="Lato" w:hAnsi="Lato"/>
                <w:szCs w:val="22"/>
              </w:rPr>
            </w:pPr>
          </w:p>
        </w:tc>
        <w:tc>
          <w:tcPr>
            <w:tcW w:w="649" w:type="dxa"/>
            <w:gridSpan w:val="6"/>
            <w:tcBorders>
              <w:top w:val="nil"/>
              <w:left w:val="nil"/>
              <w:bottom w:val="nil"/>
              <w:right w:val="nil"/>
            </w:tcBorders>
          </w:tcPr>
          <w:p w:rsidR="00CE6D7B" w:rsidRPr="008C6087" w:rsidRDefault="00CE6D7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906DEE" w:rsidP="00922B26">
            <w:pPr>
              <w:spacing w:line="240" w:lineRule="auto"/>
              <w:rPr>
                <w:rFonts w:ascii="Lato" w:hAnsi="Lato"/>
                <w:szCs w:val="22"/>
              </w:rPr>
            </w:pPr>
            <w:r>
              <w:rPr>
                <w:rFonts w:ascii="Lato" w:hAnsi="Lato"/>
                <w:szCs w:val="22"/>
              </w:rPr>
              <w:t>2.1.6</w:t>
            </w:r>
          </w:p>
        </w:tc>
        <w:tc>
          <w:tcPr>
            <w:tcW w:w="5479" w:type="dxa"/>
            <w:tcBorders>
              <w:top w:val="nil"/>
              <w:left w:val="nil"/>
              <w:bottom w:val="nil"/>
              <w:right w:val="single" w:sz="4" w:space="0" w:color="auto"/>
            </w:tcBorders>
          </w:tcPr>
          <w:p w:rsidR="0068485A" w:rsidRPr="008C6087" w:rsidRDefault="00906DEE">
            <w:pPr>
              <w:spacing w:line="240" w:lineRule="auto"/>
              <w:rPr>
                <w:rFonts w:ascii="Lato" w:hAnsi="Lato"/>
                <w:szCs w:val="22"/>
              </w:rPr>
            </w:pPr>
            <w:r w:rsidRPr="00E4379D">
              <w:rPr>
                <w:rFonts w:ascii="Lato" w:hAnsi="Lato"/>
                <w:szCs w:val="22"/>
              </w:rPr>
              <w:t>Head Office (if different from registered</w:t>
            </w:r>
            <w:r>
              <w:rPr>
                <w:rFonts w:ascii="Lato" w:hAnsi="Lato"/>
                <w:szCs w:val="22"/>
              </w:rPr>
              <w:t xml:space="preserve"> office)</w:t>
            </w:r>
            <w:r w:rsidRPr="00E4379D">
              <w:rPr>
                <w:rFonts w:ascii="Lato" w:hAnsi="Lato"/>
                <w:szCs w:val="22"/>
              </w:rPr>
              <w:t xml:space="preserve"> </w:t>
            </w:r>
          </w:p>
        </w:tc>
        <w:tc>
          <w:tcPr>
            <w:tcW w:w="1060" w:type="dxa"/>
            <w:gridSpan w:val="2"/>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68485A" w:rsidRPr="008C6087" w:rsidRDefault="0068485A">
            <w:pPr>
              <w:spacing w:line="240" w:lineRule="auto"/>
              <w:rPr>
                <w:rFonts w:ascii="Lato" w:hAnsi="Lato"/>
                <w:szCs w:val="22"/>
              </w:rPr>
            </w:pPr>
          </w:p>
        </w:tc>
        <w:tc>
          <w:tcPr>
            <w:tcW w:w="228" w:type="dxa"/>
            <w:gridSpan w:val="2"/>
            <w:tcBorders>
              <w:top w:val="nil"/>
              <w:left w:val="single" w:sz="4" w:space="0" w:color="auto"/>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7</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Names and positions of the directors in the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68485A" w:rsidRPr="008C6087" w:rsidRDefault="0068485A" w:rsidP="00922B26">
            <w:pPr>
              <w:spacing w:line="240" w:lineRule="auto"/>
              <w:rPr>
                <w:rFonts w:ascii="Lato" w:hAnsi="Lato"/>
                <w:szCs w:val="22"/>
              </w:rPr>
            </w:pPr>
          </w:p>
        </w:tc>
        <w:tc>
          <w:tcPr>
            <w:tcW w:w="5479" w:type="dxa"/>
            <w:tcBorders>
              <w:top w:val="nil"/>
              <w:left w:val="nil"/>
              <w:bottom w:val="nil"/>
              <w:right w:val="nil"/>
            </w:tcBorders>
          </w:tcPr>
          <w:p w:rsidR="0068485A" w:rsidRPr="008C6087" w:rsidRDefault="00A96BA0">
            <w:pPr>
              <w:spacing w:line="240" w:lineRule="auto"/>
              <w:rPr>
                <w:rFonts w:ascii="Lato" w:hAnsi="Lato"/>
                <w:szCs w:val="22"/>
              </w:rPr>
            </w:pPr>
            <w:r w:rsidRPr="008C6087">
              <w:rPr>
                <w:rFonts w:ascii="Lato" w:hAnsi="Lato"/>
                <w:szCs w:val="22"/>
              </w:rPr>
              <w:t>C</w:t>
            </w:r>
            <w:r w:rsidR="0068485A" w:rsidRPr="008C6087">
              <w:rPr>
                <w:rFonts w:ascii="Lato" w:hAnsi="Lato"/>
                <w:szCs w:val="22"/>
              </w:rPr>
              <w:t>ompany</w:t>
            </w:r>
            <w:r w:rsidRPr="008C6087">
              <w:rPr>
                <w:rFonts w:ascii="Lato" w:hAnsi="Lato"/>
                <w:szCs w:val="22"/>
              </w:rPr>
              <w:t>/ICAV</w:t>
            </w:r>
          </w:p>
        </w:tc>
        <w:tc>
          <w:tcPr>
            <w:tcW w:w="1060" w:type="dxa"/>
            <w:gridSpan w:val="2"/>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0"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640" w:type="dxa"/>
            <w:gridSpan w:val="4"/>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35"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543" w:type="dxa"/>
            <w:gridSpan w:val="6"/>
            <w:tcBorders>
              <w:top w:val="single" w:sz="4" w:space="0" w:color="auto"/>
              <w:left w:val="nil"/>
              <w:bottom w:val="nil"/>
              <w:right w:val="nil"/>
            </w:tcBorders>
          </w:tcPr>
          <w:p w:rsidR="0068485A" w:rsidRPr="008C6087" w:rsidRDefault="0068485A">
            <w:pPr>
              <w:spacing w:line="240" w:lineRule="auto"/>
              <w:rPr>
                <w:rFonts w:ascii="Lato" w:hAnsi="Lato"/>
                <w:szCs w:val="22"/>
              </w:rPr>
            </w:pPr>
          </w:p>
        </w:tc>
        <w:tc>
          <w:tcPr>
            <w:tcW w:w="228" w:type="dxa"/>
            <w:gridSpan w:val="2"/>
            <w:tcBorders>
              <w:top w:val="nil"/>
              <w:left w:val="nil"/>
              <w:bottom w:val="nil"/>
              <w:right w:val="nil"/>
            </w:tcBorders>
          </w:tcPr>
          <w:p w:rsidR="0068485A" w:rsidRPr="008C6087" w:rsidRDefault="0068485A">
            <w:pPr>
              <w:spacing w:line="240" w:lineRule="auto"/>
              <w:rPr>
                <w:rFonts w:ascii="Lato" w:hAnsi="Lato"/>
                <w:szCs w:val="22"/>
              </w:rPr>
            </w:pPr>
          </w:p>
        </w:tc>
        <w:tc>
          <w:tcPr>
            <w:tcW w:w="649"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8</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A brief description of the directors’ work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pPr>
              <w:spacing w:line="240" w:lineRule="auto"/>
              <w:rPr>
                <w:rFonts w:ascii="Lato" w:hAnsi="Lato"/>
                <w:szCs w:val="22"/>
              </w:rPr>
            </w:pPr>
            <w:r w:rsidRPr="008C6087">
              <w:rPr>
                <w:rFonts w:ascii="Lato" w:hAnsi="Lato"/>
                <w:szCs w:val="22"/>
              </w:rPr>
              <w:t xml:space="preserve">experience which is </w:t>
            </w:r>
            <w:r w:rsidR="00560C4B" w:rsidRPr="008C6087">
              <w:rPr>
                <w:rFonts w:ascii="Lato" w:hAnsi="Lato"/>
                <w:szCs w:val="22"/>
              </w:rPr>
              <w:t>relevant to the company</w:t>
            </w:r>
            <w:r w:rsidR="00A96BA0" w:rsidRPr="008C6087">
              <w:rPr>
                <w:rFonts w:ascii="Lato" w:hAnsi="Lato"/>
                <w:szCs w:val="22"/>
              </w:rPr>
              <w:t>/ICAV</w:t>
            </w:r>
          </w:p>
        </w:tc>
        <w:tc>
          <w:tcPr>
            <w:tcW w:w="1060" w:type="dxa"/>
            <w:gridSpan w:val="2"/>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0"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560C4B" w:rsidRPr="008C6087" w:rsidRDefault="00560C4B">
            <w:pPr>
              <w:spacing w:line="240" w:lineRule="auto"/>
              <w:rPr>
                <w:rFonts w:ascii="Lato" w:hAnsi="Lato"/>
                <w:szCs w:val="22"/>
              </w:rPr>
            </w:pPr>
          </w:p>
        </w:tc>
        <w:tc>
          <w:tcPr>
            <w:tcW w:w="2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49" w:type="dxa"/>
            <w:gridSpan w:val="6"/>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a) current;</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b) past; and</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c) their main activities outside the company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szCs w:val="22"/>
              </w:rPr>
            </w:pPr>
            <w:r w:rsidRPr="008C6087">
              <w:rPr>
                <w:rFonts w:ascii="Lato" w:hAnsi="Lato"/>
                <w:szCs w:val="22"/>
              </w:rPr>
              <w:t xml:space="preserve">where </w:t>
            </w:r>
            <w:r w:rsidR="003F241F" w:rsidRPr="008C6087">
              <w:rPr>
                <w:rFonts w:ascii="Lato" w:hAnsi="Lato"/>
                <w:szCs w:val="22"/>
              </w:rPr>
              <w:t>these are of significance with respect to the Company</w:t>
            </w:r>
            <w:r w:rsidR="00A96BA0" w:rsidRPr="008C6087">
              <w:rPr>
                <w:rFonts w:ascii="Lato" w:hAnsi="Lato"/>
                <w:szCs w:val="22"/>
              </w:rPr>
              <w:t>/ICAV</w:t>
            </w:r>
            <w:r w:rsidR="003F241F" w:rsidRPr="008C6087">
              <w:rPr>
                <w:rFonts w:ascii="Lato" w:hAnsi="Lato"/>
                <w:szCs w:val="22"/>
              </w:rPr>
              <w:t xml:space="preserve"> </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rsidP="00922B26">
            <w:pPr>
              <w:spacing w:line="240" w:lineRule="auto"/>
              <w:rPr>
                <w:rFonts w:ascii="Lato" w:hAnsi="Lato"/>
                <w:szCs w:val="22"/>
              </w:rPr>
            </w:pPr>
            <w:r w:rsidRPr="008C6087">
              <w:rPr>
                <w:rFonts w:ascii="Lato" w:hAnsi="Lato"/>
                <w:szCs w:val="22"/>
              </w:rPr>
              <w:t>2.1.</w:t>
            </w:r>
            <w:r w:rsidR="00922B26" w:rsidRPr="008C6087">
              <w:rPr>
                <w:rFonts w:ascii="Lato" w:hAnsi="Lato"/>
                <w:szCs w:val="22"/>
              </w:rPr>
              <w:t>9</w:t>
            </w:r>
          </w:p>
        </w:tc>
        <w:tc>
          <w:tcPr>
            <w:tcW w:w="5479" w:type="dxa"/>
            <w:tcBorders>
              <w:top w:val="nil"/>
              <w:left w:val="nil"/>
              <w:bottom w:val="nil"/>
              <w:right w:val="single" w:sz="4" w:space="0" w:color="auto"/>
            </w:tcBorders>
          </w:tcPr>
          <w:p w:rsidR="005418AB" w:rsidRPr="008C6087" w:rsidRDefault="005418AB" w:rsidP="0068485A">
            <w:pPr>
              <w:spacing w:line="240" w:lineRule="auto"/>
              <w:rPr>
                <w:rFonts w:ascii="Lato" w:hAnsi="Lato"/>
                <w:szCs w:val="22"/>
              </w:rPr>
            </w:pPr>
            <w:r w:rsidRPr="008C6087">
              <w:rPr>
                <w:rFonts w:ascii="Lato" w:hAnsi="Lato"/>
                <w:szCs w:val="22"/>
              </w:rPr>
              <w:t xml:space="preserve">Disclose the authorised share capital of the </w:t>
            </w:r>
          </w:p>
        </w:tc>
        <w:tc>
          <w:tcPr>
            <w:tcW w:w="1060" w:type="dxa"/>
            <w:gridSpan w:val="2"/>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5418AB" w:rsidRPr="008C6087" w:rsidRDefault="005418AB">
            <w:pPr>
              <w:spacing w:line="240" w:lineRule="auto"/>
              <w:rPr>
                <w:rFonts w:ascii="Lato" w:hAnsi="Lato"/>
                <w:szCs w:val="22"/>
              </w:rPr>
            </w:pPr>
          </w:p>
        </w:tc>
        <w:tc>
          <w:tcPr>
            <w:tcW w:w="228" w:type="dxa"/>
            <w:gridSpan w:val="2"/>
            <w:tcBorders>
              <w:top w:val="nil"/>
              <w:left w:val="single" w:sz="4" w:space="0" w:color="auto"/>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5418AB" w:rsidRPr="008C6087" w:rsidRDefault="005418AB">
            <w:pPr>
              <w:spacing w:line="240" w:lineRule="auto"/>
              <w:rPr>
                <w:rFonts w:ascii="Lato" w:hAnsi="Lato"/>
                <w:szCs w:val="22"/>
              </w:rPr>
            </w:pPr>
          </w:p>
        </w:tc>
        <w:tc>
          <w:tcPr>
            <w:tcW w:w="5479" w:type="dxa"/>
            <w:tcBorders>
              <w:top w:val="nil"/>
              <w:left w:val="nil"/>
              <w:bottom w:val="nil"/>
              <w:right w:val="nil"/>
            </w:tcBorders>
          </w:tcPr>
          <w:p w:rsidR="005418AB" w:rsidRPr="008C6087" w:rsidRDefault="0068485A">
            <w:pPr>
              <w:spacing w:line="240" w:lineRule="auto"/>
              <w:rPr>
                <w:rFonts w:ascii="Lato" w:hAnsi="Lato"/>
                <w:szCs w:val="22"/>
              </w:rPr>
            </w:pPr>
            <w:r w:rsidRPr="008C6087">
              <w:rPr>
                <w:rFonts w:ascii="Lato" w:hAnsi="Lato"/>
                <w:szCs w:val="22"/>
              </w:rPr>
              <w:t xml:space="preserve">Investment </w:t>
            </w:r>
            <w:r w:rsidR="005418AB" w:rsidRPr="008C6087">
              <w:rPr>
                <w:rFonts w:ascii="Lato" w:hAnsi="Lato"/>
                <w:szCs w:val="22"/>
              </w:rPr>
              <w:t>Company</w:t>
            </w:r>
            <w:r w:rsidR="00A96BA0" w:rsidRPr="008C6087">
              <w:rPr>
                <w:rFonts w:ascii="Lato" w:hAnsi="Lato"/>
                <w:szCs w:val="22"/>
              </w:rPr>
              <w:t>/ICAV</w:t>
            </w:r>
          </w:p>
        </w:tc>
        <w:tc>
          <w:tcPr>
            <w:tcW w:w="1060" w:type="dxa"/>
            <w:gridSpan w:val="2"/>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0"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1640" w:type="dxa"/>
            <w:gridSpan w:val="4"/>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35" w:type="dxa"/>
            <w:gridSpan w:val="3"/>
            <w:tcBorders>
              <w:top w:val="nil"/>
              <w:left w:val="nil"/>
              <w:bottom w:val="nil"/>
              <w:right w:val="nil"/>
            </w:tcBorders>
          </w:tcPr>
          <w:p w:rsidR="005418AB" w:rsidRPr="008C6087" w:rsidRDefault="005418AB">
            <w:pPr>
              <w:spacing w:line="240" w:lineRule="auto"/>
              <w:rPr>
                <w:rFonts w:ascii="Lato" w:hAnsi="Lato"/>
                <w:szCs w:val="22"/>
              </w:rPr>
            </w:pPr>
          </w:p>
        </w:tc>
        <w:tc>
          <w:tcPr>
            <w:tcW w:w="543" w:type="dxa"/>
            <w:gridSpan w:val="6"/>
            <w:tcBorders>
              <w:top w:val="single" w:sz="4" w:space="0" w:color="auto"/>
              <w:left w:val="nil"/>
              <w:bottom w:val="nil"/>
              <w:right w:val="nil"/>
            </w:tcBorders>
          </w:tcPr>
          <w:p w:rsidR="005418AB" w:rsidRPr="008C6087" w:rsidRDefault="005418AB">
            <w:pPr>
              <w:spacing w:line="240" w:lineRule="auto"/>
              <w:rPr>
                <w:rFonts w:ascii="Lato" w:hAnsi="Lato"/>
                <w:szCs w:val="22"/>
              </w:rPr>
            </w:pPr>
          </w:p>
        </w:tc>
        <w:tc>
          <w:tcPr>
            <w:tcW w:w="228" w:type="dxa"/>
            <w:gridSpan w:val="2"/>
            <w:tcBorders>
              <w:top w:val="nil"/>
              <w:left w:val="nil"/>
              <w:bottom w:val="nil"/>
              <w:right w:val="nil"/>
            </w:tcBorders>
          </w:tcPr>
          <w:p w:rsidR="005418AB" w:rsidRPr="008C6087" w:rsidRDefault="005418AB">
            <w:pPr>
              <w:spacing w:line="240" w:lineRule="auto"/>
              <w:rPr>
                <w:rFonts w:ascii="Lato" w:hAnsi="Lato"/>
                <w:szCs w:val="22"/>
              </w:rPr>
            </w:pPr>
          </w:p>
        </w:tc>
        <w:tc>
          <w:tcPr>
            <w:tcW w:w="649" w:type="dxa"/>
            <w:gridSpan w:val="6"/>
            <w:tcBorders>
              <w:top w:val="nil"/>
              <w:left w:val="nil"/>
              <w:bottom w:val="nil"/>
              <w:right w:val="nil"/>
            </w:tcBorders>
          </w:tcPr>
          <w:p w:rsidR="005418AB" w:rsidRPr="008C6087" w:rsidRDefault="005418AB">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10</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Name and address of the Auditor</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single" w:sz="4" w:space="0" w:color="auto"/>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560C4B" w:rsidP="003C3E16">
            <w:pPr>
              <w:spacing w:line="240" w:lineRule="auto"/>
              <w:rPr>
                <w:rFonts w:ascii="Lato" w:hAnsi="Lato"/>
                <w:szCs w:val="22"/>
              </w:rPr>
            </w:pPr>
            <w:r w:rsidRPr="008C6087">
              <w:rPr>
                <w:rFonts w:ascii="Lato" w:hAnsi="Lato"/>
                <w:szCs w:val="22"/>
              </w:rPr>
              <w:lastRenderedPageBreak/>
              <w:t>2.1.</w:t>
            </w:r>
            <w:r w:rsidR="003C3E16" w:rsidRPr="008C6087">
              <w:rPr>
                <w:rFonts w:ascii="Lato" w:hAnsi="Lato"/>
                <w:szCs w:val="22"/>
              </w:rPr>
              <w:t>11</w:t>
            </w:r>
          </w:p>
        </w:tc>
        <w:tc>
          <w:tcPr>
            <w:tcW w:w="5479" w:type="dxa"/>
            <w:tcBorders>
              <w:top w:val="nil"/>
              <w:left w:val="nil"/>
              <w:bottom w:val="nil"/>
              <w:right w:val="single" w:sz="4" w:space="0" w:color="auto"/>
            </w:tcBorders>
          </w:tcPr>
          <w:p w:rsidR="003F241F" w:rsidRPr="008C6087" w:rsidRDefault="003F241F">
            <w:pPr>
              <w:spacing w:line="240" w:lineRule="auto"/>
              <w:rPr>
                <w:rFonts w:ascii="Lato" w:hAnsi="Lato"/>
                <w:szCs w:val="22"/>
              </w:rPr>
            </w:pPr>
            <w:r w:rsidRPr="008C6087">
              <w:rPr>
                <w:rFonts w:ascii="Lato" w:hAnsi="Lato"/>
                <w:szCs w:val="22"/>
              </w:rPr>
              <w:t xml:space="preserve">Name and address of the </w:t>
            </w:r>
            <w:r w:rsidR="00A96BA0" w:rsidRPr="008C6087">
              <w:rPr>
                <w:rFonts w:ascii="Lato" w:hAnsi="Lato"/>
                <w:szCs w:val="22"/>
              </w:rPr>
              <w:t>(</w:t>
            </w:r>
            <w:r w:rsidRPr="008C6087">
              <w:rPr>
                <w:rFonts w:ascii="Lato" w:hAnsi="Lato"/>
                <w:szCs w:val="22"/>
              </w:rPr>
              <w:t>Company</w:t>
            </w:r>
            <w:r w:rsidR="00A96BA0" w:rsidRPr="008C6087">
              <w:rPr>
                <w:rFonts w:ascii="Lato" w:hAnsi="Lato"/>
                <w:szCs w:val="22"/>
              </w:rPr>
              <w:t>)</w:t>
            </w:r>
            <w:r w:rsidRPr="008C6087">
              <w:rPr>
                <w:rFonts w:ascii="Lato" w:hAnsi="Lato"/>
                <w:szCs w:val="22"/>
              </w:rPr>
              <w:t xml:space="preserve"> Secretary </w:t>
            </w:r>
          </w:p>
        </w:tc>
        <w:tc>
          <w:tcPr>
            <w:tcW w:w="1060"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0"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28" w:type="dxa"/>
            <w:gridSpan w:val="2"/>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(investment company</w:t>
            </w:r>
            <w:r w:rsidR="00A96BA0" w:rsidRPr="008C6087">
              <w:rPr>
                <w:rFonts w:ascii="Lato" w:hAnsi="Lato"/>
                <w:szCs w:val="22"/>
              </w:rPr>
              <w:t>/ICAV</w:t>
            </w:r>
            <w:r w:rsidRPr="008C6087">
              <w:rPr>
                <w:rFonts w:ascii="Lato" w:hAnsi="Lato"/>
                <w:szCs w:val="22"/>
              </w:rPr>
              <w:t>)</w:t>
            </w:r>
          </w:p>
        </w:tc>
        <w:tc>
          <w:tcPr>
            <w:tcW w:w="1060"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3"/>
          <w:wAfter w:w="319"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060"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640"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3"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2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49"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12</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 xml:space="preserve">If applicable, the stock exchange(s) or markets </w:t>
            </w:r>
            <w:r w:rsidR="002911EE" w:rsidRPr="008C6087">
              <w:rPr>
                <w:rFonts w:ascii="Lato" w:hAnsi="Lato"/>
                <w:szCs w:val="22"/>
              </w:rPr>
              <w:t xml:space="preserve">on </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25" w:type="dxa"/>
            <w:gridSpan w:val="5"/>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06DEE">
            <w:pPr>
              <w:spacing w:line="240" w:lineRule="auto"/>
              <w:rPr>
                <w:rFonts w:ascii="Lato" w:hAnsi="Lato"/>
                <w:szCs w:val="22"/>
              </w:rPr>
            </w:pPr>
            <w:r>
              <w:rPr>
                <w:rFonts w:ascii="Lato" w:hAnsi="Lato"/>
                <w:szCs w:val="22"/>
              </w:rPr>
              <w:t xml:space="preserve">which </w:t>
            </w:r>
            <w:r w:rsidR="0068485A" w:rsidRPr="008C6087">
              <w:rPr>
                <w:rFonts w:ascii="Lato" w:hAnsi="Lato"/>
                <w:szCs w:val="22"/>
              </w:rPr>
              <w:t xml:space="preserve">the </w:t>
            </w:r>
            <w:r w:rsidR="00560C4B" w:rsidRPr="008C6087">
              <w:rPr>
                <w:rFonts w:ascii="Lato" w:hAnsi="Lato"/>
                <w:szCs w:val="22"/>
              </w:rPr>
              <w:t>units/shares of the Retail Investor AIF will be listed/dealt in</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2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7"/>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rPr>
          <w:gridAfter w:val="2"/>
          <w:wAfter w:w="286" w:type="dxa"/>
        </w:trPr>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pStyle w:val="Heading3"/>
              <w:spacing w:before="0" w:after="0" w:line="240" w:lineRule="auto"/>
              <w:rPr>
                <w:rFonts w:ascii="Lato" w:hAnsi="Lato"/>
                <w:b w:val="0"/>
                <w:bCs/>
                <w:color w:val="auto"/>
                <w:sz w:val="22"/>
                <w:szCs w:val="22"/>
              </w:rPr>
            </w:pPr>
          </w:p>
        </w:tc>
        <w:tc>
          <w:tcPr>
            <w:tcW w:w="1041" w:type="dxa"/>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298" w:type="dxa"/>
            <w:gridSpan w:val="2"/>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szCs w:val="22"/>
              </w:rPr>
            </w:pPr>
            <w:r w:rsidRPr="008C6087">
              <w:rPr>
                <w:rFonts w:ascii="Lato" w:hAnsi="Lato"/>
                <w:szCs w:val="22"/>
              </w:rPr>
              <w:t>2.1.</w:t>
            </w:r>
            <w:r w:rsidR="003C3E16" w:rsidRPr="008C6087">
              <w:rPr>
                <w:rFonts w:ascii="Lato" w:hAnsi="Lato"/>
                <w:szCs w:val="22"/>
              </w:rPr>
              <w:t>13</w:t>
            </w:r>
          </w:p>
        </w:tc>
        <w:tc>
          <w:tcPr>
            <w:tcW w:w="5479" w:type="dxa"/>
            <w:tcBorders>
              <w:top w:val="nil"/>
              <w:left w:val="nil"/>
              <w:bottom w:val="nil"/>
              <w:right w:val="single" w:sz="4" w:space="0" w:color="auto"/>
            </w:tcBorders>
          </w:tcPr>
          <w:p w:rsidR="003F241F" w:rsidRPr="008C6087" w:rsidRDefault="003F241F" w:rsidP="0068485A">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Details of the persons who accept </w:t>
            </w:r>
            <w:r w:rsidR="00655FE9" w:rsidRPr="008C6087">
              <w:rPr>
                <w:rFonts w:ascii="Lato" w:hAnsi="Lato"/>
                <w:b w:val="0"/>
                <w:bCs/>
                <w:color w:val="auto"/>
                <w:sz w:val="22"/>
                <w:szCs w:val="22"/>
              </w:rPr>
              <w:t>responsibility for</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5479" w:type="dxa"/>
            <w:tcBorders>
              <w:top w:val="nil"/>
              <w:left w:val="nil"/>
              <w:bottom w:val="nil"/>
              <w:right w:val="nil"/>
            </w:tcBorders>
          </w:tcPr>
          <w:p w:rsidR="003F241F" w:rsidRPr="008C6087" w:rsidRDefault="0068485A" w:rsidP="0098599D">
            <w:pPr>
              <w:spacing w:line="240" w:lineRule="auto"/>
              <w:rPr>
                <w:rFonts w:ascii="Lato" w:hAnsi="Lato"/>
                <w:szCs w:val="22"/>
              </w:rPr>
            </w:pPr>
            <w:r w:rsidRPr="008C6087">
              <w:rPr>
                <w:rFonts w:ascii="Lato" w:hAnsi="Lato"/>
                <w:bCs/>
                <w:szCs w:val="22"/>
              </w:rPr>
              <w:t>the</w:t>
            </w:r>
            <w:r w:rsidRPr="008C6087">
              <w:rPr>
                <w:rFonts w:ascii="Lato" w:hAnsi="Lato"/>
                <w:szCs w:val="22"/>
              </w:rPr>
              <w:t xml:space="preserve"> </w:t>
            </w:r>
            <w:r w:rsidR="003F241F" w:rsidRPr="008C6087">
              <w:rPr>
                <w:rFonts w:ascii="Lato" w:hAnsi="Lato"/>
                <w:szCs w:val="22"/>
              </w:rPr>
              <w:t xml:space="preserve">information contained in the prospectus </w:t>
            </w:r>
            <w:r w:rsidR="00934F55" w:rsidRPr="008C6087">
              <w:rPr>
                <w:rFonts w:ascii="Lato" w:hAnsi="Lato"/>
                <w:szCs w:val="22"/>
              </w:rPr>
              <w:t>(i.e., directors of the scheme or directors of the manager)</w:t>
            </w:r>
          </w:p>
        </w:tc>
        <w:tc>
          <w:tcPr>
            <w:tcW w:w="1041" w:type="dxa"/>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05"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35"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92" w:type="dxa"/>
            <w:gridSpan w:val="8"/>
            <w:tcBorders>
              <w:top w:val="nil"/>
              <w:left w:val="nil"/>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5479" w:type="dxa"/>
            <w:tcBorders>
              <w:top w:val="nil"/>
              <w:left w:val="nil"/>
              <w:bottom w:val="nil"/>
              <w:right w:val="nil"/>
            </w:tcBorders>
          </w:tcPr>
          <w:p w:rsidR="00560C4B" w:rsidRPr="008C6087" w:rsidRDefault="00560C4B" w:rsidP="0098599D">
            <w:pPr>
              <w:spacing w:line="240" w:lineRule="auto"/>
              <w:rPr>
                <w:rFonts w:ascii="Lato" w:hAnsi="Lato"/>
                <w:szCs w:val="22"/>
              </w:rPr>
            </w:pPr>
          </w:p>
        </w:tc>
        <w:tc>
          <w:tcPr>
            <w:tcW w:w="1041" w:type="dxa"/>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05" w:type="dxa"/>
            <w:gridSpan w:val="5"/>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35"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463" w:type="dxa"/>
            <w:gridSpan w:val="5"/>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92" w:type="dxa"/>
            <w:gridSpan w:val="8"/>
            <w:tcBorders>
              <w:top w:val="nil"/>
              <w:left w:val="nil"/>
              <w:bottom w:val="nil"/>
              <w:right w:val="nil"/>
            </w:tcBorders>
          </w:tcPr>
          <w:p w:rsidR="00560C4B" w:rsidRPr="008C6087" w:rsidRDefault="00560C4B">
            <w:pPr>
              <w:spacing w:line="240" w:lineRule="auto"/>
              <w:rPr>
                <w:rFonts w:ascii="Lato" w:hAnsi="Lato"/>
                <w:szCs w:val="22"/>
              </w:rPr>
            </w:pPr>
          </w:p>
        </w:tc>
        <w:tc>
          <w:tcPr>
            <w:tcW w:w="556" w:type="dxa"/>
            <w:gridSpan w:val="4"/>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3C3E16">
            <w:pPr>
              <w:spacing w:line="240" w:lineRule="auto"/>
              <w:rPr>
                <w:rFonts w:ascii="Lato" w:hAnsi="Lato"/>
                <w:bCs/>
                <w:szCs w:val="22"/>
              </w:rPr>
            </w:pPr>
            <w:r w:rsidRPr="008C6087">
              <w:rPr>
                <w:rFonts w:ascii="Lato" w:hAnsi="Lato"/>
                <w:bCs/>
                <w:szCs w:val="22"/>
              </w:rPr>
              <w:t>2.1.</w:t>
            </w:r>
            <w:r w:rsidR="003C3E16" w:rsidRPr="008C6087">
              <w:rPr>
                <w:rFonts w:ascii="Lato" w:hAnsi="Lato"/>
                <w:bCs/>
                <w:szCs w:val="22"/>
              </w:rPr>
              <w:t>14</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szCs w:val="22"/>
              </w:rPr>
            </w:pPr>
            <w:r w:rsidRPr="008C6087">
              <w:rPr>
                <w:rFonts w:ascii="Lato" w:hAnsi="Lato"/>
                <w:szCs w:val="22"/>
              </w:rPr>
              <w:t>Disclose the base currency of the R</w:t>
            </w:r>
            <w:r w:rsidR="00955AE5" w:rsidRPr="008C6087">
              <w:rPr>
                <w:rFonts w:ascii="Lato" w:hAnsi="Lato"/>
                <w:szCs w:val="22"/>
              </w:rPr>
              <w:t xml:space="preserve">etail </w:t>
            </w:r>
            <w:r w:rsidR="002911EE" w:rsidRPr="008C6087">
              <w:rPr>
                <w:rFonts w:ascii="Lato" w:hAnsi="Lato"/>
                <w:szCs w:val="22"/>
              </w:rPr>
              <w:t>Investor AIF</w:t>
            </w:r>
          </w:p>
        </w:tc>
        <w:tc>
          <w:tcPr>
            <w:tcW w:w="1041" w:type="dxa"/>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05"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35" w:type="dxa"/>
            <w:gridSpan w:val="3"/>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63" w:type="dxa"/>
            <w:gridSpan w:val="5"/>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92" w:type="dxa"/>
            <w:gridSpan w:val="8"/>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56" w:type="dxa"/>
            <w:gridSpan w:val="4"/>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68485A" w:rsidRPr="008C6087" w:rsidRDefault="0068485A">
            <w:pPr>
              <w:spacing w:line="240" w:lineRule="auto"/>
              <w:rPr>
                <w:rFonts w:ascii="Lato" w:hAnsi="Lato"/>
                <w:szCs w:val="22"/>
              </w:rPr>
            </w:pPr>
          </w:p>
        </w:tc>
        <w:tc>
          <w:tcPr>
            <w:tcW w:w="5479" w:type="dxa"/>
            <w:tcBorders>
              <w:top w:val="nil"/>
              <w:left w:val="nil"/>
              <w:bottom w:val="nil"/>
              <w:right w:val="nil"/>
            </w:tcBorders>
          </w:tcPr>
          <w:p w:rsidR="0068485A" w:rsidRPr="008C6087" w:rsidRDefault="0068485A">
            <w:pPr>
              <w:spacing w:line="240" w:lineRule="auto"/>
              <w:rPr>
                <w:rFonts w:ascii="Lato" w:hAnsi="Lato"/>
                <w:szCs w:val="22"/>
              </w:rPr>
            </w:pPr>
          </w:p>
        </w:tc>
        <w:tc>
          <w:tcPr>
            <w:tcW w:w="1102"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544" w:type="dxa"/>
            <w:gridSpan w:val="3"/>
            <w:tcBorders>
              <w:top w:val="nil"/>
              <w:left w:val="nil"/>
              <w:bottom w:val="nil"/>
              <w:right w:val="nil"/>
            </w:tcBorders>
          </w:tcPr>
          <w:p w:rsidR="0068485A" w:rsidRPr="008C6087" w:rsidRDefault="0068485A">
            <w:pPr>
              <w:spacing w:line="240" w:lineRule="auto"/>
              <w:rPr>
                <w:rFonts w:ascii="Lato" w:hAnsi="Lato"/>
                <w:szCs w:val="22"/>
              </w:rPr>
            </w:pPr>
          </w:p>
        </w:tc>
        <w:tc>
          <w:tcPr>
            <w:tcW w:w="1284" w:type="dxa"/>
            <w:gridSpan w:val="3"/>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246" w:type="dxa"/>
            <w:gridSpan w:val="4"/>
            <w:tcBorders>
              <w:top w:val="nil"/>
              <w:left w:val="nil"/>
              <w:bottom w:val="nil"/>
              <w:right w:val="nil"/>
            </w:tcBorders>
          </w:tcPr>
          <w:p w:rsidR="0068485A" w:rsidRPr="008C6087" w:rsidRDefault="0068485A">
            <w:pPr>
              <w:spacing w:line="240" w:lineRule="auto"/>
              <w:rPr>
                <w:rFonts w:ascii="Lato" w:hAnsi="Lato"/>
                <w:szCs w:val="22"/>
              </w:rPr>
            </w:pPr>
          </w:p>
        </w:tc>
        <w:tc>
          <w:tcPr>
            <w:tcW w:w="452" w:type="dxa"/>
            <w:gridSpan w:val="4"/>
            <w:tcBorders>
              <w:top w:val="nil"/>
              <w:left w:val="nil"/>
              <w:bottom w:val="single" w:sz="4" w:space="0" w:color="auto"/>
              <w:right w:val="nil"/>
            </w:tcBorders>
          </w:tcPr>
          <w:p w:rsidR="0068485A" w:rsidRPr="008C6087" w:rsidRDefault="0068485A">
            <w:pPr>
              <w:spacing w:line="240" w:lineRule="auto"/>
              <w:rPr>
                <w:rFonts w:ascii="Lato" w:hAnsi="Lato"/>
                <w:szCs w:val="22"/>
              </w:rPr>
            </w:pPr>
          </w:p>
        </w:tc>
        <w:tc>
          <w:tcPr>
            <w:tcW w:w="631" w:type="dxa"/>
            <w:gridSpan w:val="6"/>
            <w:tcBorders>
              <w:top w:val="nil"/>
              <w:left w:val="nil"/>
              <w:bottom w:val="nil"/>
              <w:right w:val="nil"/>
            </w:tcBorders>
          </w:tcPr>
          <w:p w:rsidR="0068485A" w:rsidRPr="008C6087" w:rsidRDefault="0068485A">
            <w:pPr>
              <w:spacing w:line="240" w:lineRule="auto"/>
              <w:rPr>
                <w:rFonts w:ascii="Lato" w:hAnsi="Lato"/>
                <w:szCs w:val="22"/>
              </w:rPr>
            </w:pPr>
          </w:p>
        </w:tc>
        <w:tc>
          <w:tcPr>
            <w:tcW w:w="623" w:type="dxa"/>
            <w:gridSpan w:val="6"/>
            <w:tcBorders>
              <w:top w:val="nil"/>
              <w:left w:val="nil"/>
              <w:bottom w:val="nil"/>
              <w:right w:val="nil"/>
            </w:tcBorders>
          </w:tcPr>
          <w:p w:rsidR="0068485A" w:rsidRPr="008C6087" w:rsidRDefault="0068485A">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r w:rsidRPr="008C6087">
              <w:rPr>
                <w:rFonts w:ascii="Lato" w:hAnsi="Lato"/>
                <w:szCs w:val="22"/>
              </w:rPr>
              <w:t>2.1.15</w:t>
            </w:r>
          </w:p>
        </w:tc>
        <w:tc>
          <w:tcPr>
            <w:tcW w:w="5479" w:type="dxa"/>
            <w:tcBorders>
              <w:top w:val="nil"/>
              <w:left w:val="nil"/>
              <w:bottom w:val="nil"/>
              <w:right w:val="single" w:sz="4" w:space="0" w:color="auto"/>
            </w:tcBorders>
          </w:tcPr>
          <w:p w:rsidR="00655FE9" w:rsidRPr="008C6087" w:rsidRDefault="00655FE9" w:rsidP="00655FE9">
            <w:pPr>
              <w:spacing w:line="240" w:lineRule="auto"/>
              <w:rPr>
                <w:rFonts w:ascii="Lato" w:hAnsi="Lato"/>
                <w:szCs w:val="22"/>
              </w:rPr>
            </w:pPr>
            <w:r w:rsidRPr="008C6087">
              <w:rPr>
                <w:rFonts w:ascii="Lato" w:hAnsi="Lato"/>
                <w:szCs w:val="22"/>
              </w:rPr>
              <w:t xml:space="preserve">Insert details of derogations granted by the Central </w:t>
            </w:r>
          </w:p>
        </w:tc>
        <w:tc>
          <w:tcPr>
            <w:tcW w:w="1102"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246" w:type="dxa"/>
            <w:gridSpan w:val="4"/>
            <w:tcBorders>
              <w:top w:val="nil"/>
              <w:left w:val="single" w:sz="4" w:space="0" w:color="auto"/>
              <w:bottom w:val="nil"/>
              <w:right w:val="single" w:sz="4" w:space="0" w:color="auto"/>
            </w:tcBorders>
          </w:tcPr>
          <w:p w:rsidR="00655FE9" w:rsidRPr="008C6087" w:rsidRDefault="00655FE9">
            <w:pPr>
              <w:spacing w:line="240" w:lineRule="auto"/>
              <w:rPr>
                <w:rFonts w:ascii="Lato" w:hAnsi="Lato"/>
                <w:szCs w:val="22"/>
              </w:rPr>
            </w:pPr>
          </w:p>
        </w:tc>
        <w:tc>
          <w:tcPr>
            <w:tcW w:w="452" w:type="dxa"/>
            <w:gridSpan w:val="4"/>
            <w:tcBorders>
              <w:top w:val="single" w:sz="4" w:space="0" w:color="auto"/>
              <w:left w:val="single" w:sz="4" w:space="0" w:color="auto"/>
              <w:bottom w:val="single" w:sz="4" w:space="0" w:color="auto"/>
              <w:right w:val="single" w:sz="4" w:space="0" w:color="auto"/>
            </w:tcBorders>
          </w:tcPr>
          <w:p w:rsidR="00655FE9" w:rsidRPr="008C6087" w:rsidRDefault="00655FE9">
            <w:pPr>
              <w:spacing w:line="240" w:lineRule="auto"/>
              <w:rPr>
                <w:rFonts w:ascii="Lato" w:hAnsi="Lato"/>
                <w:szCs w:val="22"/>
              </w:rPr>
            </w:pPr>
          </w:p>
        </w:tc>
        <w:tc>
          <w:tcPr>
            <w:tcW w:w="631" w:type="dxa"/>
            <w:gridSpan w:val="6"/>
            <w:tcBorders>
              <w:top w:val="nil"/>
              <w:left w:val="single" w:sz="4" w:space="0" w:color="auto"/>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55FE9" w:rsidRPr="008C6087" w:rsidTr="00E35ECB">
        <w:tc>
          <w:tcPr>
            <w:tcW w:w="1107" w:type="dxa"/>
            <w:tcBorders>
              <w:top w:val="nil"/>
              <w:left w:val="nil"/>
              <w:bottom w:val="nil"/>
              <w:right w:val="nil"/>
            </w:tcBorders>
          </w:tcPr>
          <w:p w:rsidR="00655FE9" w:rsidRPr="008C6087" w:rsidRDefault="00655FE9">
            <w:pPr>
              <w:spacing w:line="240" w:lineRule="auto"/>
              <w:rPr>
                <w:rFonts w:ascii="Lato" w:hAnsi="Lato"/>
                <w:szCs w:val="22"/>
              </w:rPr>
            </w:pPr>
          </w:p>
        </w:tc>
        <w:tc>
          <w:tcPr>
            <w:tcW w:w="5479" w:type="dxa"/>
            <w:tcBorders>
              <w:top w:val="nil"/>
              <w:left w:val="nil"/>
              <w:bottom w:val="nil"/>
              <w:right w:val="nil"/>
            </w:tcBorders>
          </w:tcPr>
          <w:p w:rsidR="00655FE9" w:rsidRPr="008C6087" w:rsidRDefault="006B7738">
            <w:pPr>
              <w:spacing w:line="240" w:lineRule="auto"/>
              <w:rPr>
                <w:rFonts w:ascii="Lato" w:hAnsi="Lato"/>
                <w:szCs w:val="22"/>
              </w:rPr>
            </w:pPr>
            <w:r>
              <w:rPr>
                <w:rFonts w:ascii="Lato" w:hAnsi="Lato"/>
                <w:szCs w:val="22"/>
              </w:rPr>
              <w:t>Bank</w:t>
            </w:r>
          </w:p>
        </w:tc>
        <w:tc>
          <w:tcPr>
            <w:tcW w:w="1102"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54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1284" w:type="dxa"/>
            <w:gridSpan w:val="3"/>
            <w:tcBorders>
              <w:top w:val="nil"/>
              <w:left w:val="nil"/>
              <w:bottom w:val="nil"/>
              <w:right w:val="nil"/>
            </w:tcBorders>
          </w:tcPr>
          <w:p w:rsidR="00655FE9" w:rsidRPr="008C6087" w:rsidRDefault="00655FE9">
            <w:pPr>
              <w:spacing w:line="240" w:lineRule="auto"/>
              <w:rPr>
                <w:rFonts w:ascii="Lato" w:hAnsi="Lato"/>
                <w:szCs w:val="22"/>
              </w:rPr>
            </w:pPr>
          </w:p>
        </w:tc>
        <w:tc>
          <w:tcPr>
            <w:tcW w:w="246"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452" w:type="dxa"/>
            <w:gridSpan w:val="4"/>
            <w:tcBorders>
              <w:top w:val="nil"/>
              <w:left w:val="nil"/>
              <w:bottom w:val="nil"/>
              <w:right w:val="nil"/>
            </w:tcBorders>
          </w:tcPr>
          <w:p w:rsidR="00655FE9" w:rsidRPr="008C6087" w:rsidRDefault="00655FE9">
            <w:pPr>
              <w:spacing w:line="240" w:lineRule="auto"/>
              <w:rPr>
                <w:rFonts w:ascii="Lato" w:hAnsi="Lato"/>
                <w:szCs w:val="22"/>
              </w:rPr>
            </w:pPr>
          </w:p>
        </w:tc>
        <w:tc>
          <w:tcPr>
            <w:tcW w:w="631" w:type="dxa"/>
            <w:gridSpan w:val="6"/>
            <w:tcBorders>
              <w:top w:val="nil"/>
              <w:left w:val="nil"/>
              <w:bottom w:val="nil"/>
              <w:right w:val="nil"/>
            </w:tcBorders>
          </w:tcPr>
          <w:p w:rsidR="00655FE9" w:rsidRPr="008C6087" w:rsidRDefault="00655FE9">
            <w:pPr>
              <w:spacing w:line="240" w:lineRule="auto"/>
              <w:rPr>
                <w:rFonts w:ascii="Lato" w:hAnsi="Lato"/>
                <w:szCs w:val="22"/>
              </w:rPr>
            </w:pPr>
          </w:p>
        </w:tc>
        <w:tc>
          <w:tcPr>
            <w:tcW w:w="623" w:type="dxa"/>
            <w:gridSpan w:val="6"/>
            <w:tcBorders>
              <w:top w:val="nil"/>
              <w:left w:val="nil"/>
              <w:bottom w:val="nil"/>
              <w:right w:val="nil"/>
            </w:tcBorders>
          </w:tcPr>
          <w:p w:rsidR="00655FE9" w:rsidRPr="008C6087" w:rsidRDefault="00655FE9">
            <w:pPr>
              <w:spacing w:line="240" w:lineRule="auto"/>
              <w:rPr>
                <w:rFonts w:ascii="Lato" w:hAnsi="Lato"/>
                <w:szCs w:val="22"/>
              </w:rPr>
            </w:pPr>
          </w:p>
        </w:tc>
      </w:tr>
      <w:tr w:rsidR="006B7738" w:rsidRPr="008C6087" w:rsidTr="00E35ECB">
        <w:tc>
          <w:tcPr>
            <w:tcW w:w="1107" w:type="dxa"/>
            <w:tcBorders>
              <w:top w:val="nil"/>
              <w:left w:val="nil"/>
              <w:bottom w:val="nil"/>
              <w:right w:val="nil"/>
            </w:tcBorders>
          </w:tcPr>
          <w:p w:rsidR="006B7738" w:rsidRPr="00701466" w:rsidRDefault="006B7738">
            <w:pPr>
              <w:spacing w:line="240" w:lineRule="auto"/>
              <w:rPr>
                <w:rFonts w:ascii="Lato" w:hAnsi="Lato"/>
                <w:szCs w:val="22"/>
              </w:rPr>
            </w:pPr>
          </w:p>
        </w:tc>
        <w:tc>
          <w:tcPr>
            <w:tcW w:w="5479" w:type="dxa"/>
            <w:tcBorders>
              <w:top w:val="nil"/>
              <w:left w:val="nil"/>
              <w:bottom w:val="nil"/>
              <w:right w:val="nil"/>
            </w:tcBorders>
          </w:tcPr>
          <w:p w:rsidR="006B7738" w:rsidRDefault="006B7738">
            <w:pPr>
              <w:spacing w:line="240" w:lineRule="auto"/>
              <w:rPr>
                <w:rFonts w:ascii="Lato" w:hAnsi="Lato"/>
                <w:szCs w:val="22"/>
              </w:rPr>
            </w:pPr>
          </w:p>
        </w:tc>
        <w:tc>
          <w:tcPr>
            <w:tcW w:w="1102" w:type="dxa"/>
            <w:gridSpan w:val="3"/>
            <w:tcBorders>
              <w:top w:val="nil"/>
              <w:left w:val="nil"/>
              <w:bottom w:val="nil"/>
              <w:right w:val="nil"/>
            </w:tcBorders>
          </w:tcPr>
          <w:p w:rsidR="006B7738" w:rsidRPr="00701466" w:rsidRDefault="006B7738">
            <w:pPr>
              <w:spacing w:line="240" w:lineRule="auto"/>
              <w:rPr>
                <w:rFonts w:ascii="Lato" w:hAnsi="Lato"/>
                <w:szCs w:val="22"/>
              </w:rPr>
            </w:pPr>
          </w:p>
        </w:tc>
        <w:tc>
          <w:tcPr>
            <w:tcW w:w="544" w:type="dxa"/>
            <w:gridSpan w:val="3"/>
            <w:tcBorders>
              <w:top w:val="nil"/>
              <w:left w:val="nil"/>
              <w:bottom w:val="nil"/>
              <w:right w:val="nil"/>
            </w:tcBorders>
          </w:tcPr>
          <w:p w:rsidR="006B7738" w:rsidRPr="00A860FB" w:rsidRDefault="006B7738">
            <w:pPr>
              <w:spacing w:line="240" w:lineRule="auto"/>
              <w:rPr>
                <w:rFonts w:ascii="Lato" w:hAnsi="Lato"/>
                <w:szCs w:val="22"/>
              </w:rPr>
            </w:pPr>
          </w:p>
        </w:tc>
        <w:tc>
          <w:tcPr>
            <w:tcW w:w="1284" w:type="dxa"/>
            <w:gridSpan w:val="3"/>
            <w:tcBorders>
              <w:top w:val="nil"/>
              <w:left w:val="nil"/>
              <w:bottom w:val="nil"/>
              <w:right w:val="nil"/>
            </w:tcBorders>
          </w:tcPr>
          <w:p w:rsidR="006B7738" w:rsidRPr="002A62A4" w:rsidRDefault="006B7738">
            <w:pPr>
              <w:spacing w:line="240" w:lineRule="auto"/>
              <w:rPr>
                <w:rFonts w:ascii="Lato" w:hAnsi="Lato"/>
                <w:szCs w:val="22"/>
              </w:rPr>
            </w:pPr>
          </w:p>
        </w:tc>
        <w:tc>
          <w:tcPr>
            <w:tcW w:w="246" w:type="dxa"/>
            <w:gridSpan w:val="4"/>
            <w:tcBorders>
              <w:top w:val="nil"/>
              <w:left w:val="nil"/>
              <w:bottom w:val="nil"/>
              <w:right w:val="nil"/>
            </w:tcBorders>
          </w:tcPr>
          <w:p w:rsidR="006B7738" w:rsidRPr="00721417" w:rsidRDefault="006B7738">
            <w:pPr>
              <w:spacing w:line="240" w:lineRule="auto"/>
              <w:rPr>
                <w:rFonts w:ascii="Lato" w:hAnsi="Lato"/>
                <w:szCs w:val="22"/>
              </w:rPr>
            </w:pPr>
          </w:p>
        </w:tc>
        <w:tc>
          <w:tcPr>
            <w:tcW w:w="452" w:type="dxa"/>
            <w:gridSpan w:val="4"/>
            <w:tcBorders>
              <w:top w:val="nil"/>
              <w:left w:val="nil"/>
              <w:bottom w:val="nil"/>
              <w:right w:val="nil"/>
            </w:tcBorders>
          </w:tcPr>
          <w:p w:rsidR="006B7738" w:rsidRPr="00811B8B" w:rsidRDefault="006B7738">
            <w:pPr>
              <w:spacing w:line="240" w:lineRule="auto"/>
              <w:rPr>
                <w:rFonts w:ascii="Lato" w:hAnsi="Lato"/>
                <w:szCs w:val="22"/>
              </w:rPr>
            </w:pPr>
          </w:p>
        </w:tc>
        <w:tc>
          <w:tcPr>
            <w:tcW w:w="631" w:type="dxa"/>
            <w:gridSpan w:val="6"/>
            <w:tcBorders>
              <w:top w:val="nil"/>
              <w:left w:val="nil"/>
              <w:bottom w:val="nil"/>
              <w:right w:val="nil"/>
            </w:tcBorders>
          </w:tcPr>
          <w:p w:rsidR="006B7738" w:rsidRPr="008C6087" w:rsidRDefault="006B7738">
            <w:pPr>
              <w:spacing w:line="240" w:lineRule="auto"/>
              <w:rPr>
                <w:rFonts w:ascii="Lato" w:hAnsi="Lato"/>
                <w:szCs w:val="22"/>
              </w:rPr>
            </w:pPr>
          </w:p>
        </w:tc>
        <w:tc>
          <w:tcPr>
            <w:tcW w:w="623" w:type="dxa"/>
            <w:gridSpan w:val="6"/>
            <w:tcBorders>
              <w:top w:val="nil"/>
              <w:left w:val="nil"/>
              <w:bottom w:val="nil"/>
              <w:right w:val="nil"/>
            </w:tcBorders>
          </w:tcPr>
          <w:p w:rsidR="006B7738" w:rsidRPr="008C6087" w:rsidRDefault="006B7738">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rsidP="00655FE9">
            <w:pPr>
              <w:spacing w:line="240" w:lineRule="auto"/>
              <w:rPr>
                <w:rFonts w:ascii="Lato" w:hAnsi="Lato"/>
                <w:szCs w:val="22"/>
              </w:rPr>
            </w:pPr>
            <w:r w:rsidRPr="008C6087">
              <w:rPr>
                <w:rFonts w:ascii="Lato" w:hAnsi="Lato"/>
                <w:szCs w:val="22"/>
              </w:rPr>
              <w:t>2.1.</w:t>
            </w:r>
            <w:r w:rsidR="00655FE9" w:rsidRPr="008C6087">
              <w:rPr>
                <w:rFonts w:ascii="Lato" w:hAnsi="Lato"/>
                <w:szCs w:val="22"/>
              </w:rPr>
              <w:t>16</w:t>
            </w:r>
          </w:p>
        </w:tc>
        <w:tc>
          <w:tcPr>
            <w:tcW w:w="5479" w:type="dxa"/>
            <w:tcBorders>
              <w:top w:val="nil"/>
              <w:left w:val="nil"/>
              <w:bottom w:val="nil"/>
              <w:right w:val="nil"/>
            </w:tcBorders>
          </w:tcPr>
          <w:p w:rsidR="003F241F" w:rsidRPr="008C6087" w:rsidRDefault="00525B8D">
            <w:pPr>
              <w:spacing w:line="240" w:lineRule="auto"/>
              <w:rPr>
                <w:rFonts w:ascii="Lato" w:hAnsi="Lato"/>
                <w:szCs w:val="22"/>
              </w:rPr>
            </w:pPr>
            <w:r w:rsidRPr="008C6087">
              <w:rPr>
                <w:rFonts w:ascii="Lato" w:hAnsi="Lato"/>
                <w:szCs w:val="22"/>
              </w:rPr>
              <w:t xml:space="preserve">Disclose the risks applicable to the </w:t>
            </w:r>
            <w:r w:rsidR="00955AE5" w:rsidRPr="008C6087">
              <w:rPr>
                <w:rFonts w:ascii="Lato" w:hAnsi="Lato"/>
                <w:szCs w:val="22"/>
              </w:rPr>
              <w:t xml:space="preserve">Retail Investor </w:t>
            </w:r>
            <w:r w:rsidRPr="008C6087">
              <w:rPr>
                <w:rFonts w:ascii="Lato" w:hAnsi="Lato"/>
                <w:szCs w:val="22"/>
              </w:rPr>
              <w:t>AIF</w:t>
            </w:r>
            <w:r w:rsidR="003F241F" w:rsidRPr="008C6087">
              <w:rPr>
                <w:rFonts w:ascii="Lato" w:hAnsi="Lato"/>
                <w:szCs w:val="22"/>
              </w:rPr>
              <w:t xml:space="preserve"> in a </w:t>
            </w:r>
            <w:r w:rsidR="003F241F" w:rsidRPr="008C6087">
              <w:rPr>
                <w:rFonts w:ascii="Lato" w:hAnsi="Lato"/>
                <w:szCs w:val="22"/>
                <w:u w:val="single"/>
              </w:rPr>
              <w:t>prominent position</w:t>
            </w:r>
            <w:r w:rsidR="00955AE5" w:rsidRPr="008C6087">
              <w:rPr>
                <w:rFonts w:ascii="Lato" w:hAnsi="Lato"/>
                <w:b/>
                <w:bCs/>
                <w:szCs w:val="22"/>
              </w:rPr>
              <w:t xml:space="preserve"> in bold:</w:t>
            </w: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a)</w:t>
            </w:r>
          </w:p>
        </w:tc>
        <w:tc>
          <w:tcPr>
            <w:tcW w:w="5479" w:type="dxa"/>
            <w:tcBorders>
              <w:top w:val="nil"/>
              <w:left w:val="nil"/>
              <w:bottom w:val="nil"/>
            </w:tcBorders>
          </w:tcPr>
          <w:p w:rsidR="003F241F" w:rsidRPr="008C6087" w:rsidRDefault="003F241F" w:rsidP="00AC467B">
            <w:pPr>
              <w:spacing w:line="240" w:lineRule="auto"/>
              <w:rPr>
                <w:rFonts w:ascii="Lato" w:hAnsi="Lato"/>
                <w:b/>
                <w:bCs/>
                <w:szCs w:val="22"/>
              </w:rPr>
            </w:pPr>
            <w:r w:rsidRPr="008C6087">
              <w:rPr>
                <w:rFonts w:ascii="Lato" w:hAnsi="Lato"/>
                <w:b/>
                <w:bCs/>
                <w:szCs w:val="22"/>
              </w:rPr>
              <w:t>Investors should consult a stockbroker</w:t>
            </w:r>
            <w:r w:rsidR="00C05324" w:rsidRPr="008C6087">
              <w:rPr>
                <w:rFonts w:ascii="Lato" w:hAnsi="Lato"/>
                <w:b/>
                <w:bCs/>
                <w:szCs w:val="22"/>
              </w:rPr>
              <w:t xml:space="preserve"> or financial </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AC467B" w:rsidP="00CE6D7B">
            <w:pPr>
              <w:spacing w:line="240" w:lineRule="auto"/>
              <w:rPr>
                <w:rFonts w:ascii="Lato" w:hAnsi="Lato"/>
                <w:b/>
                <w:bCs/>
                <w:szCs w:val="22"/>
              </w:rPr>
            </w:pPr>
            <w:r w:rsidRPr="008C6087">
              <w:rPr>
                <w:rFonts w:ascii="Lato" w:hAnsi="Lato"/>
                <w:b/>
                <w:bCs/>
                <w:szCs w:val="22"/>
              </w:rPr>
              <w:t xml:space="preserve">adviser </w:t>
            </w:r>
            <w:r w:rsidR="00C05324" w:rsidRPr="008C6087">
              <w:rPr>
                <w:rFonts w:ascii="Lato" w:hAnsi="Lato"/>
                <w:b/>
                <w:bCs/>
                <w:szCs w:val="22"/>
              </w:rPr>
              <w:t>about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2"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b)</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Prices of units/shares in the </w:t>
            </w:r>
            <w:r w:rsidR="00525B8D" w:rsidRPr="008C6087">
              <w:rPr>
                <w:rFonts w:ascii="Lato" w:hAnsi="Lato"/>
                <w:b/>
                <w:bCs/>
                <w:szCs w:val="22"/>
              </w:rPr>
              <w:t>R</w:t>
            </w:r>
            <w:r w:rsidR="00955AE5" w:rsidRPr="008C6087">
              <w:rPr>
                <w:rFonts w:ascii="Lato" w:hAnsi="Lato"/>
                <w:b/>
                <w:bCs/>
                <w:szCs w:val="22"/>
              </w:rPr>
              <w:t xml:space="preserve">etail </w:t>
            </w:r>
            <w:r w:rsidR="00525B8D" w:rsidRPr="008C6087">
              <w:rPr>
                <w:rFonts w:ascii="Lato" w:hAnsi="Lato"/>
                <w:b/>
                <w:bCs/>
                <w:szCs w:val="22"/>
              </w:rPr>
              <w:t>I</w:t>
            </w:r>
            <w:r w:rsidR="00955AE5" w:rsidRPr="008C6087">
              <w:rPr>
                <w:rFonts w:ascii="Lato" w:hAnsi="Lato"/>
                <w:b/>
                <w:bCs/>
                <w:szCs w:val="22"/>
              </w:rPr>
              <w:t xml:space="preserve">nvestor </w:t>
            </w:r>
            <w:r w:rsidR="00B7175D" w:rsidRPr="008C6087">
              <w:rPr>
                <w:rFonts w:ascii="Lato" w:hAnsi="Lato"/>
                <w:b/>
                <w:bCs/>
                <w:szCs w:val="22"/>
              </w:rPr>
              <w:t>AIF may</w:t>
            </w:r>
          </w:p>
        </w:tc>
        <w:tc>
          <w:tcPr>
            <w:tcW w:w="1102"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top w:val="single" w:sz="4" w:space="0" w:color="auto"/>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8485A">
            <w:pPr>
              <w:spacing w:line="240" w:lineRule="auto"/>
              <w:rPr>
                <w:rFonts w:ascii="Lato" w:hAnsi="Lato"/>
                <w:b/>
                <w:bCs/>
                <w:szCs w:val="22"/>
              </w:rPr>
            </w:pPr>
            <w:r w:rsidRPr="008C6087">
              <w:rPr>
                <w:rFonts w:ascii="Lato" w:hAnsi="Lato"/>
                <w:b/>
                <w:bCs/>
                <w:szCs w:val="22"/>
              </w:rPr>
              <w:t xml:space="preserve">fall as </w:t>
            </w:r>
            <w:r w:rsidR="00955AE5" w:rsidRPr="008C6087">
              <w:rPr>
                <w:rFonts w:ascii="Lato" w:hAnsi="Lato"/>
                <w:b/>
                <w:bCs/>
                <w:szCs w:val="22"/>
              </w:rPr>
              <w:t xml:space="preserve">well as </w:t>
            </w:r>
            <w:r w:rsidR="003F241F" w:rsidRPr="008C6087">
              <w:rPr>
                <w:rFonts w:ascii="Lato" w:hAnsi="Lato"/>
                <w:b/>
                <w:bCs/>
                <w:szCs w:val="22"/>
              </w:rPr>
              <w:t>rise</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2"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c)</w:t>
            </w:r>
          </w:p>
        </w:tc>
        <w:tc>
          <w:tcPr>
            <w:tcW w:w="5479" w:type="dxa"/>
            <w:tcBorders>
              <w:top w:val="nil"/>
              <w:left w:val="nil"/>
              <w:bottom w:val="nil"/>
            </w:tcBorders>
          </w:tcPr>
          <w:p w:rsidR="003F241F" w:rsidRPr="008C6087" w:rsidRDefault="003F241F" w:rsidP="0068485A">
            <w:pPr>
              <w:spacing w:line="240" w:lineRule="auto"/>
              <w:rPr>
                <w:rFonts w:ascii="Lato" w:hAnsi="Lato"/>
                <w:b/>
                <w:bCs/>
                <w:szCs w:val="22"/>
              </w:rPr>
            </w:pPr>
            <w:r w:rsidRPr="008C6087">
              <w:rPr>
                <w:rFonts w:ascii="Lato" w:hAnsi="Lato"/>
                <w:b/>
                <w:bCs/>
                <w:szCs w:val="22"/>
              </w:rPr>
              <w:t>Authorisation of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is </w:t>
            </w:r>
            <w:r w:rsidR="00B7175D" w:rsidRPr="008C6087">
              <w:rPr>
                <w:rFonts w:ascii="Lato" w:hAnsi="Lato"/>
                <w:b/>
                <w:bCs/>
                <w:szCs w:val="22"/>
              </w:rPr>
              <w:t>not an</w:t>
            </w:r>
          </w:p>
        </w:tc>
        <w:tc>
          <w:tcPr>
            <w:tcW w:w="1102" w:type="dxa"/>
            <w:gridSpan w:val="3"/>
            <w:tcBorders>
              <w:bottom w:val="single" w:sz="4" w:space="0" w:color="auto"/>
            </w:tcBorders>
          </w:tcPr>
          <w:p w:rsidR="003F241F" w:rsidRPr="008C6087" w:rsidRDefault="003F241F">
            <w:pPr>
              <w:spacing w:line="240" w:lineRule="auto"/>
              <w:rPr>
                <w:rFonts w:ascii="Lato" w:hAnsi="Lato"/>
                <w:szCs w:val="22"/>
              </w:rPr>
            </w:pPr>
          </w:p>
        </w:tc>
        <w:tc>
          <w:tcPr>
            <w:tcW w:w="544" w:type="dxa"/>
            <w:gridSpan w:val="3"/>
            <w:tcBorders>
              <w:top w:val="nil"/>
              <w:bottom w:val="nil"/>
            </w:tcBorders>
          </w:tcPr>
          <w:p w:rsidR="003F241F" w:rsidRPr="008C6087" w:rsidRDefault="003F241F">
            <w:pPr>
              <w:spacing w:line="240" w:lineRule="auto"/>
              <w:rPr>
                <w:rFonts w:ascii="Lato" w:hAnsi="Lato"/>
                <w:szCs w:val="22"/>
              </w:rPr>
            </w:pPr>
          </w:p>
        </w:tc>
        <w:tc>
          <w:tcPr>
            <w:tcW w:w="1284" w:type="dxa"/>
            <w:gridSpan w:val="3"/>
            <w:tcBorders>
              <w:bottom w:val="single" w:sz="4" w:space="0" w:color="auto"/>
            </w:tcBorders>
          </w:tcPr>
          <w:p w:rsidR="003F241F" w:rsidRPr="008C6087" w:rsidRDefault="003F241F">
            <w:pPr>
              <w:spacing w:line="240" w:lineRule="auto"/>
              <w:rPr>
                <w:rFonts w:ascii="Lato" w:hAnsi="Lato"/>
                <w:szCs w:val="22"/>
              </w:rPr>
            </w:pPr>
          </w:p>
        </w:tc>
        <w:tc>
          <w:tcPr>
            <w:tcW w:w="246" w:type="dxa"/>
            <w:gridSpan w:val="4"/>
            <w:tcBorders>
              <w:top w:val="nil"/>
              <w:bottom w:val="nil"/>
            </w:tcBorders>
          </w:tcPr>
          <w:p w:rsidR="003F241F" w:rsidRPr="008C6087" w:rsidRDefault="003F241F">
            <w:pPr>
              <w:spacing w:line="240" w:lineRule="auto"/>
              <w:rPr>
                <w:rFonts w:ascii="Lato" w:hAnsi="Lato"/>
                <w:szCs w:val="22"/>
              </w:rPr>
            </w:pPr>
          </w:p>
        </w:tc>
        <w:tc>
          <w:tcPr>
            <w:tcW w:w="452" w:type="dxa"/>
            <w:gridSpan w:val="4"/>
            <w:tcBorders>
              <w:bottom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955AE5" w:rsidP="00C05324">
            <w:pPr>
              <w:spacing w:line="240" w:lineRule="auto"/>
              <w:rPr>
                <w:rFonts w:ascii="Lato" w:hAnsi="Lato"/>
                <w:b/>
                <w:bCs/>
                <w:szCs w:val="22"/>
              </w:rPr>
            </w:pPr>
            <w:r w:rsidRPr="008C6087">
              <w:rPr>
                <w:rFonts w:ascii="Lato" w:hAnsi="Lato"/>
                <w:b/>
                <w:bCs/>
                <w:szCs w:val="22"/>
              </w:rPr>
              <w:t xml:space="preserve">endorsement or </w:t>
            </w:r>
            <w:r w:rsidR="003F241F" w:rsidRPr="008C6087">
              <w:rPr>
                <w:rFonts w:ascii="Lato" w:hAnsi="Lato"/>
                <w:b/>
                <w:bCs/>
                <w:szCs w:val="22"/>
              </w:rPr>
              <w:t xml:space="preserve">guarantee of the </w:t>
            </w:r>
            <w:r w:rsidR="00C05324" w:rsidRPr="008C6087">
              <w:rPr>
                <w:rFonts w:ascii="Lato" w:hAnsi="Lato"/>
                <w:b/>
                <w:bCs/>
                <w:szCs w:val="22"/>
              </w:rPr>
              <w:t xml:space="preserve">Retail Investor AIF </w:t>
            </w:r>
            <w:r w:rsidR="003F241F" w:rsidRPr="008C6087">
              <w:rPr>
                <w:rFonts w:ascii="Lato" w:hAnsi="Lato"/>
                <w:b/>
                <w:bCs/>
                <w:szCs w:val="22"/>
              </w:rPr>
              <w:t>by the Central Bank nor is the Central Bank responsible for the contents of the Prospectus</w:t>
            </w:r>
          </w:p>
        </w:tc>
        <w:tc>
          <w:tcPr>
            <w:tcW w:w="1102" w:type="dxa"/>
            <w:gridSpan w:val="3"/>
            <w:tcBorders>
              <w:left w:val="nil"/>
              <w:bottom w:val="nil"/>
              <w:right w:val="nil"/>
            </w:tcBorders>
          </w:tcPr>
          <w:p w:rsidR="003F241F" w:rsidRPr="008C6087" w:rsidRDefault="003F241F">
            <w:pPr>
              <w:spacing w:line="240" w:lineRule="auto"/>
              <w:rPr>
                <w:rFonts w:ascii="Lato" w:hAnsi="Lato"/>
                <w:szCs w:val="22"/>
              </w:rPr>
            </w:pPr>
          </w:p>
        </w:tc>
        <w:tc>
          <w:tcPr>
            <w:tcW w:w="54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left w:val="nil"/>
              <w:bottom w:val="nil"/>
              <w:right w:val="nil"/>
            </w:tcBorders>
          </w:tcPr>
          <w:p w:rsidR="003F241F" w:rsidRPr="008C6087" w:rsidRDefault="003F241F">
            <w:pPr>
              <w:spacing w:line="240" w:lineRule="auto"/>
              <w:rPr>
                <w:rFonts w:ascii="Lato" w:hAnsi="Lato"/>
                <w:szCs w:val="22"/>
              </w:rPr>
            </w:pPr>
          </w:p>
        </w:tc>
        <w:tc>
          <w:tcPr>
            <w:tcW w:w="246"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452" w:type="dxa"/>
            <w:gridSpan w:val="4"/>
            <w:tcBorders>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szCs w:val="22"/>
              </w:rPr>
            </w:pP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3F241F" w:rsidRPr="008C6087" w:rsidRDefault="003F241F" w:rsidP="00C44EBF">
            <w:pPr>
              <w:spacing w:line="240" w:lineRule="auto"/>
              <w:rPr>
                <w:rFonts w:ascii="Lato" w:hAnsi="Lato"/>
                <w:b/>
                <w:bCs/>
                <w:szCs w:val="22"/>
              </w:rPr>
            </w:pPr>
            <w:r w:rsidRPr="008C6087">
              <w:rPr>
                <w:rFonts w:ascii="Lato" w:hAnsi="Lato"/>
                <w:b/>
                <w:bCs/>
                <w:szCs w:val="22"/>
              </w:rPr>
              <w:t>The Central Bank shall not</w:t>
            </w:r>
            <w:r w:rsidR="00C44EBF" w:rsidRPr="008C6087">
              <w:rPr>
                <w:rFonts w:ascii="Lato" w:hAnsi="Lato"/>
                <w:b/>
                <w:bCs/>
                <w:szCs w:val="22"/>
              </w:rPr>
              <w:t>,</w:t>
            </w:r>
            <w:r w:rsidRPr="008C6087">
              <w:rPr>
                <w:rFonts w:ascii="Lato" w:hAnsi="Lato"/>
                <w:b/>
                <w:bCs/>
                <w:szCs w:val="22"/>
              </w:rPr>
              <w:t xml:space="preserve"> by </w:t>
            </w:r>
            <w:r w:rsidR="00B7175D" w:rsidRPr="008C6087">
              <w:rPr>
                <w:rFonts w:ascii="Lato" w:hAnsi="Lato"/>
                <w:b/>
                <w:bCs/>
                <w:szCs w:val="22"/>
              </w:rPr>
              <w:t>virtue of its</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58" w:type="dxa"/>
            <w:gridSpan w:val="5"/>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31" w:type="dxa"/>
            <w:gridSpan w:val="6"/>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rsidP="00C47AC2">
            <w:pPr>
              <w:spacing w:line="240" w:lineRule="auto"/>
              <w:rPr>
                <w:rFonts w:ascii="Lato" w:hAnsi="Lato"/>
                <w:b/>
                <w:bCs/>
                <w:szCs w:val="22"/>
              </w:rPr>
            </w:pPr>
            <w:r w:rsidRPr="008C6087">
              <w:rPr>
                <w:rFonts w:ascii="Lato" w:hAnsi="Lato"/>
                <w:b/>
                <w:bCs/>
                <w:szCs w:val="22"/>
              </w:rPr>
              <w:t>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nvestor</w:t>
            </w:r>
            <w:r w:rsidRPr="008C6087">
              <w:rPr>
                <w:rFonts w:ascii="Lato" w:hAnsi="Lato"/>
                <w:b/>
                <w:bCs/>
                <w:szCs w:val="22"/>
              </w:rPr>
              <w:t xml:space="preserve"> AIF or by reason of its exercise of the functions conferred on it by legislation in relation to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r w:rsidR="00C44EBF" w:rsidRPr="008C6087">
              <w:rPr>
                <w:rFonts w:ascii="Lato" w:hAnsi="Lato"/>
                <w:b/>
                <w:bCs/>
                <w:szCs w:val="22"/>
              </w:rPr>
              <w:t>,</w:t>
            </w:r>
            <w:r w:rsidR="00955AE5" w:rsidRPr="008C6087">
              <w:rPr>
                <w:rFonts w:ascii="Lato" w:hAnsi="Lato"/>
                <w:b/>
                <w:bCs/>
                <w:szCs w:val="22"/>
              </w:rPr>
              <w:t xml:space="preserve"> </w:t>
            </w:r>
            <w:r w:rsidR="00C44EBF" w:rsidRPr="008C6087">
              <w:rPr>
                <w:rFonts w:ascii="Lato" w:hAnsi="Lato"/>
                <w:b/>
                <w:bCs/>
                <w:szCs w:val="22"/>
              </w:rPr>
              <w:t xml:space="preserve">be liable </w:t>
            </w:r>
            <w:r w:rsidRPr="008C6087">
              <w:rPr>
                <w:rFonts w:ascii="Lato" w:hAnsi="Lato"/>
                <w:b/>
                <w:bCs/>
                <w:szCs w:val="22"/>
              </w:rPr>
              <w:t xml:space="preserve">for any default of the </w:t>
            </w:r>
            <w:r w:rsidR="00C47AC2" w:rsidRPr="008C6087">
              <w:rPr>
                <w:rFonts w:ascii="Lato" w:hAnsi="Lato"/>
                <w:b/>
                <w:bCs/>
                <w:szCs w:val="22"/>
              </w:rPr>
              <w:t>Retail Investor AIF</w:t>
            </w:r>
            <w:r w:rsidRPr="008C6087">
              <w:rPr>
                <w:rFonts w:ascii="Lato" w:hAnsi="Lato"/>
                <w:b/>
                <w:bCs/>
                <w:szCs w:val="22"/>
              </w:rPr>
              <w:t>.  Authorisation of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 does not constitute a warranty by the Central Bank as to the creditworthiness or financial standing of the various parties to the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AIF</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58" w:type="dxa"/>
            <w:gridSpan w:val="5"/>
            <w:tcBorders>
              <w:top w:val="nil"/>
              <w:left w:val="nil"/>
              <w:bottom w:val="nil"/>
              <w:right w:val="nil"/>
            </w:tcBorders>
          </w:tcPr>
          <w:p w:rsidR="003F241F" w:rsidRPr="008C6087" w:rsidRDefault="003F241F">
            <w:pPr>
              <w:spacing w:line="240" w:lineRule="auto"/>
              <w:rPr>
                <w:rFonts w:ascii="Lato" w:hAnsi="Lato"/>
                <w:szCs w:val="22"/>
              </w:rPr>
            </w:pPr>
          </w:p>
        </w:tc>
        <w:tc>
          <w:tcPr>
            <w:tcW w:w="440"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631"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623" w:type="dxa"/>
            <w:gridSpan w:val="6"/>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6B0A91" w:rsidP="00956AD4">
            <w:pPr>
              <w:spacing w:line="240" w:lineRule="auto"/>
              <w:rPr>
                <w:rFonts w:ascii="Lato" w:hAnsi="Lato"/>
                <w:szCs w:val="22"/>
              </w:rPr>
            </w:pPr>
            <w:r w:rsidRPr="008C6087">
              <w:rPr>
                <w:rFonts w:ascii="Lato" w:hAnsi="Lato"/>
                <w:szCs w:val="22"/>
              </w:rPr>
              <w:t>Where a subscription and/or redemption charge is provided for, the applicant should consider whether or not the following warning is appropriate:</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The difference at any one time between the </w:t>
            </w:r>
            <w:r w:rsidR="00B7175D" w:rsidRPr="008C6087">
              <w:rPr>
                <w:rFonts w:ascii="Lato" w:hAnsi="Lato"/>
                <w:b/>
                <w:bCs/>
                <w:szCs w:val="22"/>
              </w:rPr>
              <w:t>sale and</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repurchase price of units/shares in this R</w:t>
            </w:r>
            <w:r w:rsidR="00955AE5" w:rsidRPr="008C6087">
              <w:rPr>
                <w:rFonts w:ascii="Lato" w:hAnsi="Lato"/>
                <w:b/>
                <w:bCs/>
                <w:szCs w:val="22"/>
              </w:rPr>
              <w:t xml:space="preserve">etail </w:t>
            </w:r>
            <w:r w:rsidRPr="008C6087">
              <w:rPr>
                <w:rFonts w:ascii="Lato" w:hAnsi="Lato"/>
                <w:b/>
                <w:bCs/>
                <w:szCs w:val="22"/>
              </w:rPr>
              <w:t>I</w:t>
            </w:r>
            <w:r w:rsidR="00955AE5" w:rsidRPr="008C6087">
              <w:rPr>
                <w:rFonts w:ascii="Lato" w:hAnsi="Lato"/>
                <w:b/>
                <w:bCs/>
                <w:szCs w:val="22"/>
              </w:rPr>
              <w:t xml:space="preserve">nvestor </w:t>
            </w:r>
            <w:r w:rsidRPr="008C6087">
              <w:rPr>
                <w:rFonts w:ascii="Lato" w:hAnsi="Lato"/>
                <w:b/>
                <w:bCs/>
                <w:szCs w:val="22"/>
              </w:rPr>
              <w:t xml:space="preserve">AIF means that the investment should be viewed as medium to long term </w:t>
            </w:r>
          </w:p>
          <w:p w:rsidR="003F241F" w:rsidRPr="008C6087" w:rsidRDefault="003F241F">
            <w:pPr>
              <w:spacing w:line="240" w:lineRule="auto"/>
              <w:rPr>
                <w:rFonts w:ascii="Lato" w:hAnsi="Lato"/>
                <w:b/>
                <w:bCs/>
                <w:szCs w:val="22"/>
              </w:rPr>
            </w:pP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3F241F" w:rsidRPr="008C6087" w:rsidRDefault="003F241F" w:rsidP="003644B5">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AIF invests in gold</w:t>
            </w:r>
            <w:r w:rsidR="003644B5" w:rsidRPr="008C6087">
              <w:rPr>
                <w:rFonts w:ascii="Lato" w:hAnsi="Lato"/>
                <w:bCs/>
                <w:szCs w:val="22"/>
              </w:rPr>
              <w:t xml:space="preserve">, set out in bold type </w:t>
            </w:r>
            <w:r w:rsidRPr="008C6087">
              <w:rPr>
                <w:rFonts w:ascii="Lato" w:hAnsi="Lato"/>
                <w:bCs/>
                <w:szCs w:val="22"/>
              </w:rPr>
              <w:t xml:space="preserve"> the</w:t>
            </w:r>
            <w:r w:rsidR="006B7738">
              <w:rPr>
                <w:rFonts w:ascii="Lato" w:hAnsi="Lato"/>
                <w:bCs/>
                <w:szCs w:val="22"/>
              </w:rPr>
              <w:t xml:space="preserve"> following statement at the beginning of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B7738" w:rsidP="003644B5">
            <w:pPr>
              <w:spacing w:line="240" w:lineRule="auto"/>
              <w:rPr>
                <w:rFonts w:ascii="Lato" w:hAnsi="Lato"/>
                <w:bCs/>
                <w:szCs w:val="22"/>
              </w:rPr>
            </w:pPr>
            <w:r>
              <w:rPr>
                <w:rFonts w:ascii="Lato" w:hAnsi="Lato"/>
                <w:bCs/>
                <w:szCs w:val="22"/>
              </w:rPr>
              <w:t xml:space="preserve">the </w:t>
            </w:r>
            <w:r w:rsidR="003644B5" w:rsidRPr="008C6087">
              <w:rPr>
                <w:rFonts w:ascii="Lato" w:hAnsi="Lato"/>
                <w:bCs/>
                <w:szCs w:val="22"/>
              </w:rPr>
              <w:t>prospectus</w:t>
            </w:r>
            <w:r w:rsidR="00C05324" w:rsidRPr="008C6087">
              <w:rPr>
                <w:rFonts w:ascii="Lato" w:hAnsi="Lato"/>
                <w:bCs/>
                <w:szCs w:val="22"/>
              </w:rPr>
              <w:t>:</w:t>
            </w:r>
          </w:p>
        </w:tc>
        <w:tc>
          <w:tcPr>
            <w:tcW w:w="1108" w:type="dxa"/>
            <w:gridSpan w:val="4"/>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single" w:sz="4" w:space="0" w:color="auto"/>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single" w:sz="4" w:space="0" w:color="auto"/>
            </w:tcBorders>
          </w:tcPr>
          <w:p w:rsidR="00560C4B" w:rsidRPr="008C6087" w:rsidRDefault="00560C4B" w:rsidP="0068485A">
            <w:pPr>
              <w:spacing w:line="240" w:lineRule="auto"/>
              <w:rPr>
                <w:rFonts w:ascii="Lato" w:hAnsi="Lato"/>
                <w:bCs/>
                <w:szCs w:val="22"/>
              </w:rPr>
            </w:pPr>
            <w:r w:rsidRPr="008C6087">
              <w:rPr>
                <w:rFonts w:ascii="Lato" w:hAnsi="Lato"/>
                <w:b/>
                <w:bCs/>
                <w:szCs w:val="22"/>
              </w:rPr>
              <w:t xml:space="preserve">The price of gold varies considerably over </w:t>
            </w:r>
            <w:r w:rsidR="00B7175D" w:rsidRPr="008C6087">
              <w:rPr>
                <w:rFonts w:ascii="Lato" w:hAnsi="Lato"/>
                <w:b/>
                <w:bCs/>
                <w:szCs w:val="22"/>
              </w:rPr>
              <w:t>time. This</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
                <w:bCs/>
                <w:szCs w:val="22"/>
              </w:rPr>
              <w:t>makes investment in gold high risk, particularly for medium to long term investor. If the price of gold falls considerably, as it has in the past, you could face a significant loss on your investment.</w:t>
            </w:r>
          </w:p>
        </w:tc>
        <w:tc>
          <w:tcPr>
            <w:tcW w:w="1108" w:type="dxa"/>
            <w:gridSpan w:val="4"/>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
                <w:bCs/>
                <w:szCs w:val="22"/>
              </w:rPr>
            </w:pP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nil"/>
            </w:tcBorders>
          </w:tcPr>
          <w:p w:rsidR="003F241F" w:rsidRPr="008C6087" w:rsidRDefault="003F241F" w:rsidP="00C47AC2">
            <w:pPr>
              <w:spacing w:line="240" w:lineRule="auto"/>
              <w:rPr>
                <w:rFonts w:ascii="Lato" w:hAnsi="Lato"/>
                <w:bCs/>
                <w:szCs w:val="22"/>
              </w:rPr>
            </w:pPr>
            <w:r w:rsidRPr="008C6087">
              <w:rPr>
                <w:rFonts w:ascii="Lato" w:hAnsi="Lato"/>
                <w:bCs/>
                <w:szCs w:val="22"/>
              </w:rPr>
              <w:t>Where the R</w:t>
            </w:r>
            <w:r w:rsidR="00955AE5" w:rsidRPr="008C6087">
              <w:rPr>
                <w:rFonts w:ascii="Lato" w:hAnsi="Lato"/>
                <w:bCs/>
                <w:szCs w:val="22"/>
              </w:rPr>
              <w:t xml:space="preserve">etail </w:t>
            </w:r>
            <w:r w:rsidRPr="008C6087">
              <w:rPr>
                <w:rFonts w:ascii="Lato" w:hAnsi="Lato"/>
                <w:bCs/>
                <w:szCs w:val="22"/>
              </w:rPr>
              <w:t>I</w:t>
            </w:r>
            <w:r w:rsidR="00955AE5" w:rsidRPr="008C6087">
              <w:rPr>
                <w:rFonts w:ascii="Lato" w:hAnsi="Lato"/>
                <w:bCs/>
                <w:szCs w:val="22"/>
              </w:rPr>
              <w:t xml:space="preserve">nvestor </w:t>
            </w:r>
            <w:r w:rsidRPr="008C6087">
              <w:rPr>
                <w:rFonts w:ascii="Lato" w:hAnsi="Lato"/>
                <w:bCs/>
                <w:szCs w:val="22"/>
              </w:rPr>
              <w:t xml:space="preserve">AIF invests in emerging stock exchanges and markets </w:t>
            </w:r>
            <w:r w:rsidR="00C47AC2" w:rsidRPr="008C6087">
              <w:rPr>
                <w:rFonts w:ascii="Lato" w:hAnsi="Lato"/>
                <w:bCs/>
                <w:szCs w:val="22"/>
              </w:rPr>
              <w:t>it must recommend, in a prominent manner,</w:t>
            </w:r>
            <w:r w:rsidR="00C47AC2" w:rsidRPr="008C6087">
              <w:rPr>
                <w:rFonts w:ascii="Lato" w:hAnsi="Lato"/>
                <w:szCs w:val="22"/>
              </w:rPr>
              <w:t xml:space="preserve"> </w:t>
            </w:r>
            <w:r w:rsidR="00C47AC2" w:rsidRPr="008C6087">
              <w:rPr>
                <w:rFonts w:ascii="Lato" w:hAnsi="Lato"/>
                <w:bCs/>
                <w:szCs w:val="22"/>
              </w:rPr>
              <w:t xml:space="preserve">in bold type at the beginning of the prospectus </w:t>
            </w:r>
            <w:r w:rsidRPr="008C6087">
              <w:rPr>
                <w:rFonts w:ascii="Lato" w:hAnsi="Lato"/>
                <w:bCs/>
                <w:szCs w:val="22"/>
              </w:rPr>
              <w:t>that:</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3F241F" w:rsidP="0068485A">
            <w:pPr>
              <w:spacing w:line="240" w:lineRule="auto"/>
              <w:rPr>
                <w:rFonts w:ascii="Lato" w:hAnsi="Lato"/>
                <w:b/>
                <w:bCs/>
                <w:szCs w:val="22"/>
              </w:rPr>
            </w:pPr>
            <w:r w:rsidRPr="008C6087">
              <w:rPr>
                <w:rFonts w:ascii="Lato" w:hAnsi="Lato"/>
                <w:b/>
                <w:bCs/>
                <w:szCs w:val="22"/>
              </w:rPr>
              <w:t xml:space="preserve">Unitholders should not invest a substantial </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68485A" w:rsidP="00955AE5">
            <w:pPr>
              <w:spacing w:line="240" w:lineRule="auto"/>
              <w:rPr>
                <w:rFonts w:ascii="Lato" w:hAnsi="Lato"/>
                <w:b/>
                <w:bCs/>
                <w:szCs w:val="22"/>
              </w:rPr>
            </w:pPr>
            <w:r w:rsidRPr="008C6087">
              <w:rPr>
                <w:rFonts w:ascii="Lato" w:hAnsi="Lato"/>
                <w:b/>
                <w:bCs/>
                <w:szCs w:val="22"/>
              </w:rPr>
              <w:t xml:space="preserve">proportion of </w:t>
            </w:r>
            <w:r w:rsidR="00560C4B" w:rsidRPr="008C6087">
              <w:rPr>
                <w:rFonts w:ascii="Lato" w:hAnsi="Lato"/>
                <w:b/>
                <w:bCs/>
                <w:szCs w:val="22"/>
              </w:rPr>
              <w:t>their investment portfolio in the R</w:t>
            </w:r>
            <w:r w:rsidR="00955AE5" w:rsidRPr="008C6087">
              <w:rPr>
                <w:rFonts w:ascii="Lato" w:hAnsi="Lato"/>
                <w:b/>
                <w:bCs/>
                <w:szCs w:val="22"/>
              </w:rPr>
              <w:t xml:space="preserve">etail Investor </w:t>
            </w:r>
            <w:r w:rsidR="00560C4B" w:rsidRPr="008C6087">
              <w:rPr>
                <w:rFonts w:ascii="Lato" w:hAnsi="Lato"/>
                <w:b/>
                <w:bCs/>
                <w:szCs w:val="22"/>
              </w:rPr>
              <w:t>AIF</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
                <w:bCs/>
                <w:szCs w:val="22"/>
              </w:rPr>
            </w:pPr>
            <w:r w:rsidRPr="008C6087">
              <w:rPr>
                <w:rFonts w:ascii="Lato" w:hAnsi="Lato"/>
                <w:bCs/>
                <w:szCs w:val="22"/>
              </w:rPr>
              <w:t>And</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single" w:sz="4" w:space="0" w:color="auto"/>
            </w:tcBorders>
          </w:tcPr>
          <w:p w:rsidR="003F241F" w:rsidRPr="008C6087" w:rsidRDefault="00EF4BC6" w:rsidP="00062D9F">
            <w:pPr>
              <w:spacing w:line="240" w:lineRule="auto"/>
              <w:rPr>
                <w:rFonts w:ascii="Lato" w:hAnsi="Lato"/>
                <w:bCs/>
                <w:szCs w:val="22"/>
              </w:rPr>
            </w:pPr>
            <w:r w:rsidRPr="008C6087">
              <w:rPr>
                <w:rFonts w:ascii="Lato" w:hAnsi="Lato"/>
                <w:bCs/>
                <w:szCs w:val="22"/>
              </w:rPr>
              <w:t>C</w:t>
            </w:r>
            <w:r w:rsidR="003F241F" w:rsidRPr="008C6087">
              <w:rPr>
                <w:rFonts w:ascii="Lato" w:hAnsi="Lato"/>
                <w:bCs/>
                <w:szCs w:val="22"/>
              </w:rPr>
              <w:t xml:space="preserve">ross refer to the more detailed </w:t>
            </w:r>
            <w:r w:rsidR="00062D9F" w:rsidRPr="008C6087">
              <w:rPr>
                <w:rFonts w:ascii="Lato" w:hAnsi="Lato"/>
                <w:bCs/>
                <w:szCs w:val="22"/>
              </w:rPr>
              <w:t>disclosure</w:t>
            </w:r>
            <w:r w:rsidRPr="008C6087">
              <w:rPr>
                <w:rFonts w:ascii="Lato" w:hAnsi="Lato"/>
                <w:bCs/>
                <w:szCs w:val="22"/>
              </w:rPr>
              <w:t xml:space="preserve"> of risk</w:t>
            </w:r>
          </w:p>
        </w:tc>
        <w:tc>
          <w:tcPr>
            <w:tcW w:w="1108" w:type="dxa"/>
            <w:gridSpan w:val="4"/>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3F241F" w:rsidRPr="008C6087" w:rsidRDefault="003F241F">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3F241F" w:rsidRPr="008C6087" w:rsidRDefault="003F241F">
            <w:pPr>
              <w:spacing w:line="240" w:lineRule="auto"/>
              <w:rPr>
                <w:rFonts w:ascii="Lato" w:hAnsi="Lato"/>
                <w:szCs w:val="22"/>
              </w:rPr>
            </w:pPr>
          </w:p>
        </w:tc>
        <w:tc>
          <w:tcPr>
            <w:tcW w:w="681" w:type="dxa"/>
            <w:gridSpan w:val="7"/>
            <w:tcBorders>
              <w:top w:val="nil"/>
              <w:left w:val="single" w:sz="4" w:space="0" w:color="auto"/>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560C4B">
            <w:pPr>
              <w:spacing w:line="240" w:lineRule="auto"/>
              <w:rPr>
                <w:rFonts w:ascii="Lato" w:hAnsi="Lato"/>
                <w:bCs/>
                <w:szCs w:val="22"/>
              </w:rPr>
            </w:pPr>
            <w:r w:rsidRPr="008C6087">
              <w:rPr>
                <w:rFonts w:ascii="Lato" w:hAnsi="Lato"/>
                <w:bCs/>
                <w:szCs w:val="22"/>
              </w:rPr>
              <w:t>factors which are contained in the body of the prospectus</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3F241F">
            <w:pPr>
              <w:spacing w:line="240" w:lineRule="auto"/>
              <w:rPr>
                <w:rFonts w:ascii="Lato" w:hAnsi="Lato"/>
                <w:bCs/>
                <w:szCs w:val="22"/>
              </w:rPr>
            </w:pP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560C4B">
            <w:pPr>
              <w:spacing w:line="240" w:lineRule="auto"/>
              <w:rPr>
                <w:rFonts w:ascii="Lato" w:hAnsi="Lato"/>
                <w:szCs w:val="22"/>
              </w:rPr>
            </w:pPr>
            <w:r w:rsidRPr="008C6087">
              <w:rPr>
                <w:rFonts w:ascii="Lato" w:hAnsi="Lato"/>
                <w:szCs w:val="22"/>
              </w:rPr>
              <w:t>h</w:t>
            </w:r>
            <w:r w:rsidR="003F241F" w:rsidRPr="008C6087">
              <w:rPr>
                <w:rFonts w:ascii="Lato" w:hAnsi="Lato"/>
                <w:szCs w:val="22"/>
              </w:rPr>
              <w:t>)</w:t>
            </w:r>
          </w:p>
        </w:tc>
        <w:tc>
          <w:tcPr>
            <w:tcW w:w="5479" w:type="dxa"/>
            <w:tcBorders>
              <w:top w:val="nil"/>
              <w:left w:val="nil"/>
              <w:bottom w:val="nil"/>
              <w:right w:val="nil"/>
            </w:tcBorders>
          </w:tcPr>
          <w:p w:rsidR="003F241F" w:rsidRPr="008C6087" w:rsidRDefault="003F241F" w:rsidP="00701466">
            <w:pPr>
              <w:spacing w:line="240" w:lineRule="auto"/>
              <w:rPr>
                <w:rFonts w:ascii="Lato" w:hAnsi="Lato"/>
                <w:bCs/>
                <w:szCs w:val="22"/>
              </w:rPr>
            </w:pPr>
            <w:r w:rsidRPr="008C6087">
              <w:rPr>
                <w:rFonts w:ascii="Lato" w:hAnsi="Lato"/>
                <w:bCs/>
                <w:szCs w:val="22"/>
              </w:rPr>
              <w:t xml:space="preserve">Where relevant, the prospectus must contain a </w:t>
            </w:r>
          </w:p>
        </w:tc>
        <w:tc>
          <w:tcPr>
            <w:tcW w:w="1108" w:type="dxa"/>
            <w:gridSpan w:val="4"/>
            <w:tcBorders>
              <w:top w:val="nil"/>
              <w:left w:val="nil"/>
              <w:bottom w:val="nil"/>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nil"/>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3F241F" w:rsidRPr="008C6087" w:rsidRDefault="003F241F">
            <w:pPr>
              <w:spacing w:line="240" w:lineRule="auto"/>
              <w:rPr>
                <w:rFonts w:ascii="Lato" w:hAnsi="Lato"/>
                <w:szCs w:val="22"/>
              </w:rPr>
            </w:pPr>
          </w:p>
        </w:tc>
        <w:tc>
          <w:tcPr>
            <w:tcW w:w="5479" w:type="dxa"/>
            <w:tcBorders>
              <w:top w:val="nil"/>
              <w:left w:val="nil"/>
              <w:bottom w:val="nil"/>
              <w:right w:val="nil"/>
            </w:tcBorders>
          </w:tcPr>
          <w:p w:rsidR="003F241F" w:rsidRPr="008C6087" w:rsidRDefault="00BD6F9F">
            <w:pPr>
              <w:spacing w:line="240" w:lineRule="auto"/>
              <w:rPr>
                <w:rFonts w:ascii="Lato" w:hAnsi="Lato"/>
                <w:szCs w:val="22"/>
              </w:rPr>
            </w:pPr>
            <w:r>
              <w:rPr>
                <w:rFonts w:ascii="Lato" w:hAnsi="Lato"/>
                <w:szCs w:val="22"/>
              </w:rPr>
              <w:t xml:space="preserve">prominent </w:t>
            </w:r>
            <w:r w:rsidR="003F241F" w:rsidRPr="008C6087">
              <w:rPr>
                <w:rFonts w:ascii="Lato" w:hAnsi="Lato"/>
                <w:szCs w:val="22"/>
              </w:rPr>
              <w:t>risk warning which will make specific reference to the following:</w:t>
            </w:r>
          </w:p>
        </w:tc>
        <w:tc>
          <w:tcPr>
            <w:tcW w:w="1108" w:type="dxa"/>
            <w:gridSpan w:val="4"/>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538" w:type="dxa"/>
            <w:gridSpan w:val="2"/>
            <w:tcBorders>
              <w:top w:val="nil"/>
              <w:left w:val="nil"/>
              <w:bottom w:val="nil"/>
              <w:right w:val="nil"/>
            </w:tcBorders>
          </w:tcPr>
          <w:p w:rsidR="003F241F" w:rsidRPr="008C6087" w:rsidRDefault="003F241F">
            <w:pPr>
              <w:spacing w:line="240" w:lineRule="auto"/>
              <w:rPr>
                <w:rFonts w:ascii="Lato" w:hAnsi="Lato"/>
                <w:szCs w:val="22"/>
              </w:rPr>
            </w:pPr>
          </w:p>
        </w:tc>
        <w:tc>
          <w:tcPr>
            <w:tcW w:w="1284" w:type="dxa"/>
            <w:gridSpan w:val="3"/>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270" w:type="dxa"/>
            <w:gridSpan w:val="6"/>
            <w:tcBorders>
              <w:top w:val="nil"/>
              <w:left w:val="nil"/>
              <w:bottom w:val="nil"/>
              <w:right w:val="nil"/>
            </w:tcBorders>
          </w:tcPr>
          <w:p w:rsidR="003F241F" w:rsidRPr="008C6087" w:rsidRDefault="003F241F">
            <w:pPr>
              <w:spacing w:line="240" w:lineRule="auto"/>
              <w:rPr>
                <w:rFonts w:ascii="Lato" w:hAnsi="Lato"/>
                <w:szCs w:val="22"/>
              </w:rPr>
            </w:pPr>
          </w:p>
        </w:tc>
        <w:tc>
          <w:tcPr>
            <w:tcW w:w="428" w:type="dxa"/>
            <w:gridSpan w:val="2"/>
            <w:tcBorders>
              <w:top w:val="nil"/>
              <w:left w:val="nil"/>
              <w:bottom w:val="single" w:sz="4" w:space="0" w:color="auto"/>
              <w:right w:val="nil"/>
            </w:tcBorders>
          </w:tcPr>
          <w:p w:rsidR="003F241F" w:rsidRPr="008C6087" w:rsidRDefault="003F241F">
            <w:pPr>
              <w:spacing w:line="240" w:lineRule="auto"/>
              <w:rPr>
                <w:rFonts w:ascii="Lato" w:hAnsi="Lato"/>
                <w:szCs w:val="22"/>
              </w:rPr>
            </w:pPr>
          </w:p>
        </w:tc>
        <w:tc>
          <w:tcPr>
            <w:tcW w:w="681" w:type="dxa"/>
            <w:gridSpan w:val="7"/>
            <w:tcBorders>
              <w:top w:val="nil"/>
              <w:left w:val="nil"/>
              <w:bottom w:val="nil"/>
              <w:right w:val="nil"/>
            </w:tcBorders>
          </w:tcPr>
          <w:p w:rsidR="003F241F" w:rsidRPr="008C6087" w:rsidRDefault="003F241F">
            <w:pPr>
              <w:spacing w:line="240" w:lineRule="auto"/>
              <w:rPr>
                <w:rFonts w:ascii="Lato" w:hAnsi="Lato"/>
                <w:szCs w:val="22"/>
              </w:rPr>
            </w:pPr>
          </w:p>
        </w:tc>
        <w:tc>
          <w:tcPr>
            <w:tcW w:w="595" w:type="dxa"/>
            <w:gridSpan w:val="5"/>
            <w:tcBorders>
              <w:top w:val="nil"/>
              <w:left w:val="nil"/>
              <w:bottom w:val="nil"/>
              <w:right w:val="nil"/>
            </w:tcBorders>
          </w:tcPr>
          <w:p w:rsidR="003F241F" w:rsidRPr="008C6087" w:rsidRDefault="003F241F">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Any potential for above average risk involved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B9512B" w:rsidRPr="008C6087" w:rsidRDefault="00B9512B" w:rsidP="00560C4B">
            <w:pPr>
              <w:spacing w:line="240" w:lineRule="auto"/>
              <w:jc w:val="right"/>
              <w:rPr>
                <w:rFonts w:ascii="Lato" w:hAnsi="Lato"/>
                <w:szCs w:val="22"/>
              </w:rPr>
            </w:pPr>
          </w:p>
        </w:tc>
        <w:tc>
          <w:tcPr>
            <w:tcW w:w="5479" w:type="dxa"/>
            <w:tcBorders>
              <w:top w:val="nil"/>
              <w:left w:val="nil"/>
              <w:bottom w:val="nil"/>
              <w:right w:val="nil"/>
            </w:tcBorders>
          </w:tcPr>
          <w:p w:rsidR="00B9512B" w:rsidRPr="008C6087" w:rsidRDefault="00B9512B">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538" w:type="dxa"/>
            <w:gridSpan w:val="2"/>
            <w:tcBorders>
              <w:top w:val="nil"/>
              <w:left w:val="nil"/>
              <w:bottom w:val="nil"/>
              <w:right w:val="nil"/>
            </w:tcBorders>
          </w:tcPr>
          <w:p w:rsidR="00B9512B" w:rsidRPr="008C6087" w:rsidRDefault="00B9512B">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270" w:type="dxa"/>
            <w:gridSpan w:val="6"/>
            <w:tcBorders>
              <w:top w:val="nil"/>
              <w:left w:val="nil"/>
              <w:bottom w:val="nil"/>
              <w:right w:val="nil"/>
            </w:tcBorders>
          </w:tcPr>
          <w:p w:rsidR="00B9512B" w:rsidRPr="008C6087" w:rsidRDefault="00B9512B">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B9512B" w:rsidRPr="008C6087" w:rsidRDefault="00B9512B">
            <w:pPr>
              <w:spacing w:line="240" w:lineRule="auto"/>
              <w:rPr>
                <w:rFonts w:ascii="Lato" w:hAnsi="Lato"/>
                <w:szCs w:val="22"/>
              </w:rPr>
            </w:pPr>
          </w:p>
        </w:tc>
        <w:tc>
          <w:tcPr>
            <w:tcW w:w="681" w:type="dxa"/>
            <w:gridSpan w:val="7"/>
            <w:tcBorders>
              <w:top w:val="nil"/>
              <w:left w:val="nil"/>
              <w:bottom w:val="nil"/>
              <w:right w:val="nil"/>
            </w:tcBorders>
          </w:tcPr>
          <w:p w:rsidR="00B9512B" w:rsidRPr="008C6087" w:rsidRDefault="00B9512B">
            <w:pPr>
              <w:spacing w:line="240" w:lineRule="auto"/>
              <w:rPr>
                <w:rFonts w:ascii="Lato" w:hAnsi="Lato"/>
                <w:szCs w:val="22"/>
              </w:rPr>
            </w:pPr>
          </w:p>
        </w:tc>
        <w:tc>
          <w:tcPr>
            <w:tcW w:w="595" w:type="dxa"/>
            <w:gridSpan w:val="5"/>
            <w:tcBorders>
              <w:top w:val="nil"/>
              <w:left w:val="nil"/>
              <w:bottom w:val="nil"/>
              <w:right w:val="nil"/>
            </w:tcBorders>
          </w:tcPr>
          <w:p w:rsidR="00B9512B" w:rsidRPr="008C6087" w:rsidDel="00560C4B" w:rsidRDefault="00B9512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rsidP="00560C4B">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560C4B" w:rsidRPr="008C6087" w:rsidRDefault="00560C4B" w:rsidP="00B9512B">
            <w:pPr>
              <w:spacing w:line="240" w:lineRule="auto"/>
              <w:rPr>
                <w:rFonts w:ascii="Lato" w:hAnsi="Lato"/>
                <w:szCs w:val="22"/>
              </w:rPr>
            </w:pPr>
            <w:r w:rsidRPr="008C6087">
              <w:rPr>
                <w:rFonts w:ascii="Lato" w:hAnsi="Lato"/>
                <w:szCs w:val="22"/>
              </w:rPr>
              <w:t xml:space="preserve">The suitability of this type of investment with </w:t>
            </w:r>
          </w:p>
        </w:tc>
        <w:tc>
          <w:tcPr>
            <w:tcW w:w="1108" w:type="dxa"/>
            <w:gridSpan w:val="4"/>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560C4B" w:rsidRPr="008C6087" w:rsidRDefault="00560C4B">
            <w:pPr>
              <w:spacing w:line="240" w:lineRule="auto"/>
              <w:rPr>
                <w:rFonts w:ascii="Lato" w:hAnsi="Lato"/>
                <w:szCs w:val="22"/>
              </w:rPr>
            </w:pPr>
          </w:p>
        </w:tc>
        <w:tc>
          <w:tcPr>
            <w:tcW w:w="681" w:type="dxa"/>
            <w:gridSpan w:val="7"/>
            <w:tcBorders>
              <w:top w:val="nil"/>
              <w:left w:val="single" w:sz="4" w:space="0" w:color="auto"/>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rsidP="00B9512B">
            <w:pPr>
              <w:spacing w:line="240" w:lineRule="auto"/>
              <w:rPr>
                <w:rFonts w:ascii="Lato" w:hAnsi="Lato"/>
                <w:szCs w:val="22"/>
              </w:rPr>
            </w:pPr>
            <w:r w:rsidRPr="008C6087">
              <w:rPr>
                <w:rFonts w:ascii="Lato" w:hAnsi="Lato"/>
                <w:szCs w:val="22"/>
              </w:rPr>
              <w:t xml:space="preserve">the </w:t>
            </w:r>
            <w:r w:rsidR="00560C4B" w:rsidRPr="008C6087">
              <w:rPr>
                <w:rFonts w:ascii="Lato" w:hAnsi="Lato"/>
                <w:szCs w:val="22"/>
              </w:rPr>
              <w:t xml:space="preserve">potential for above average risk only for </w:t>
            </w:r>
          </w:p>
        </w:tc>
        <w:tc>
          <w:tcPr>
            <w:tcW w:w="1108" w:type="dxa"/>
            <w:gridSpan w:val="4"/>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single" w:sz="4" w:space="0" w:color="auto"/>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560C4B" w:rsidRPr="008C6087" w:rsidDel="00560C4B" w:rsidRDefault="00560C4B">
            <w:pPr>
              <w:spacing w:line="240" w:lineRule="auto"/>
              <w:rPr>
                <w:rFonts w:ascii="Lato" w:hAnsi="Lato"/>
                <w:szCs w:val="22"/>
              </w:rPr>
            </w:pPr>
          </w:p>
        </w:tc>
      </w:tr>
      <w:tr w:rsidR="00AC467B" w:rsidRPr="008C6087" w:rsidTr="00E35ECB">
        <w:tc>
          <w:tcPr>
            <w:tcW w:w="1107" w:type="dxa"/>
            <w:tcBorders>
              <w:top w:val="nil"/>
              <w:left w:val="nil"/>
              <w:bottom w:val="nil"/>
              <w:right w:val="nil"/>
            </w:tcBorders>
          </w:tcPr>
          <w:p w:rsidR="00560C4B" w:rsidRPr="008C6087" w:rsidRDefault="00560C4B">
            <w:pPr>
              <w:spacing w:line="240" w:lineRule="auto"/>
              <w:rPr>
                <w:rFonts w:ascii="Lato" w:hAnsi="Lato"/>
                <w:szCs w:val="22"/>
              </w:rPr>
            </w:pPr>
          </w:p>
        </w:tc>
        <w:tc>
          <w:tcPr>
            <w:tcW w:w="5479" w:type="dxa"/>
            <w:tcBorders>
              <w:top w:val="nil"/>
              <w:left w:val="nil"/>
              <w:bottom w:val="nil"/>
              <w:right w:val="nil"/>
            </w:tcBorders>
          </w:tcPr>
          <w:p w:rsidR="00560C4B" w:rsidRPr="008C6087" w:rsidRDefault="00B9512B">
            <w:pPr>
              <w:spacing w:line="240" w:lineRule="auto"/>
              <w:rPr>
                <w:rFonts w:ascii="Lato" w:hAnsi="Lato"/>
                <w:szCs w:val="22"/>
              </w:rPr>
            </w:pPr>
            <w:r w:rsidRPr="008C6087">
              <w:rPr>
                <w:rFonts w:ascii="Lato" w:hAnsi="Lato"/>
                <w:szCs w:val="22"/>
              </w:rPr>
              <w:t xml:space="preserve">people who are in a </w:t>
            </w:r>
            <w:r w:rsidR="00560C4B" w:rsidRPr="008C6087">
              <w:rPr>
                <w:rFonts w:ascii="Lato" w:hAnsi="Lato"/>
                <w:szCs w:val="22"/>
              </w:rPr>
              <w:t>position to take such a risk.</w:t>
            </w:r>
          </w:p>
        </w:tc>
        <w:tc>
          <w:tcPr>
            <w:tcW w:w="1108" w:type="dxa"/>
            <w:gridSpan w:val="4"/>
            <w:tcBorders>
              <w:top w:val="nil"/>
              <w:left w:val="nil"/>
              <w:bottom w:val="nil"/>
              <w:right w:val="nil"/>
            </w:tcBorders>
          </w:tcPr>
          <w:p w:rsidR="00560C4B" w:rsidRPr="008C6087" w:rsidRDefault="00560C4B">
            <w:pPr>
              <w:spacing w:line="240" w:lineRule="auto"/>
              <w:rPr>
                <w:rFonts w:ascii="Lato" w:hAnsi="Lato"/>
                <w:szCs w:val="22"/>
              </w:rPr>
            </w:pPr>
          </w:p>
        </w:tc>
        <w:tc>
          <w:tcPr>
            <w:tcW w:w="53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1284" w:type="dxa"/>
            <w:gridSpan w:val="3"/>
            <w:tcBorders>
              <w:top w:val="nil"/>
              <w:left w:val="nil"/>
              <w:bottom w:val="nil"/>
              <w:right w:val="nil"/>
            </w:tcBorders>
          </w:tcPr>
          <w:p w:rsidR="00560C4B" w:rsidRPr="008C6087" w:rsidRDefault="00560C4B">
            <w:pPr>
              <w:spacing w:line="240" w:lineRule="auto"/>
              <w:rPr>
                <w:rFonts w:ascii="Lato" w:hAnsi="Lato"/>
                <w:szCs w:val="22"/>
              </w:rPr>
            </w:pPr>
          </w:p>
        </w:tc>
        <w:tc>
          <w:tcPr>
            <w:tcW w:w="270" w:type="dxa"/>
            <w:gridSpan w:val="6"/>
            <w:tcBorders>
              <w:top w:val="nil"/>
              <w:left w:val="nil"/>
              <w:bottom w:val="nil"/>
              <w:right w:val="nil"/>
            </w:tcBorders>
          </w:tcPr>
          <w:p w:rsidR="00560C4B" w:rsidRPr="008C6087" w:rsidRDefault="00560C4B">
            <w:pPr>
              <w:spacing w:line="240" w:lineRule="auto"/>
              <w:rPr>
                <w:rFonts w:ascii="Lato" w:hAnsi="Lato"/>
                <w:szCs w:val="22"/>
              </w:rPr>
            </w:pPr>
          </w:p>
        </w:tc>
        <w:tc>
          <w:tcPr>
            <w:tcW w:w="428" w:type="dxa"/>
            <w:gridSpan w:val="2"/>
            <w:tcBorders>
              <w:top w:val="nil"/>
              <w:left w:val="nil"/>
              <w:bottom w:val="nil"/>
              <w:right w:val="nil"/>
            </w:tcBorders>
          </w:tcPr>
          <w:p w:rsidR="00560C4B" w:rsidRPr="008C6087" w:rsidRDefault="00560C4B">
            <w:pPr>
              <w:spacing w:line="240" w:lineRule="auto"/>
              <w:rPr>
                <w:rFonts w:ascii="Lato" w:hAnsi="Lato"/>
                <w:szCs w:val="22"/>
              </w:rPr>
            </w:pPr>
          </w:p>
        </w:tc>
        <w:tc>
          <w:tcPr>
            <w:tcW w:w="681" w:type="dxa"/>
            <w:gridSpan w:val="7"/>
            <w:tcBorders>
              <w:top w:val="nil"/>
              <w:left w:val="nil"/>
              <w:bottom w:val="nil"/>
              <w:right w:val="nil"/>
            </w:tcBorders>
          </w:tcPr>
          <w:p w:rsidR="00560C4B" w:rsidRPr="008C6087" w:rsidRDefault="00560C4B">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2.1.17</w:t>
            </w:r>
          </w:p>
        </w:tc>
        <w:tc>
          <w:tcPr>
            <w:tcW w:w="5479" w:type="dxa"/>
            <w:tcBorders>
              <w:top w:val="nil"/>
              <w:left w:val="nil"/>
              <w:bottom w:val="nil"/>
              <w:right w:val="nil"/>
            </w:tcBorders>
          </w:tcPr>
          <w:p w:rsidR="006B3EE9" w:rsidRPr="008C6087" w:rsidRDefault="006B3EE9">
            <w:pPr>
              <w:spacing w:line="240" w:lineRule="auto"/>
              <w:rPr>
                <w:rFonts w:ascii="Lato" w:hAnsi="Lato"/>
                <w:szCs w:val="22"/>
              </w:rPr>
            </w:pPr>
            <w:r w:rsidRPr="001362A6">
              <w:rPr>
                <w:rFonts w:ascii="Lato" w:hAnsi="Lato"/>
                <w:lang w:val="en-IE"/>
              </w:rPr>
              <w:t xml:space="preserve">Please provide the name and a valid email address for a Director of the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27744F">
            <w:pPr>
              <w:spacing w:line="240" w:lineRule="auto"/>
              <w:jc w:val="both"/>
              <w:rPr>
                <w:rFonts w:ascii="Lato" w:hAnsi="Lato"/>
                <w:szCs w:val="22"/>
              </w:rPr>
            </w:pPr>
            <w:r>
              <w:rPr>
                <w:rFonts w:ascii="Lato" w:hAnsi="Lato"/>
                <w:lang w:val="en-IE"/>
              </w:rPr>
              <w:t xml:space="preserve">RIAIF </w:t>
            </w:r>
            <w:r w:rsidRPr="001362A6">
              <w:rPr>
                <w:rFonts w:ascii="Lato" w:hAnsi="Lato"/>
                <w:lang w:val="en-IE"/>
              </w:rPr>
              <w:t>(in the case of an Investment Company or ICAV) or a Director of the management company (in the case of a Unit Trust or Common Contractual Fund)</w:t>
            </w:r>
            <w:r w:rsidR="006E54CB">
              <w:rPr>
                <w:rFonts w:ascii="Lato" w:hAnsi="Lato"/>
                <w:lang w:val="en-IE"/>
              </w:rPr>
              <w:t xml:space="preserve"> </w:t>
            </w:r>
            <w:r w:rsidR="006E54CB" w:rsidRPr="006E54CB">
              <w:rPr>
                <w:rFonts w:ascii="Lato" w:hAnsi="Lato"/>
                <w:lang w:val="en-IE"/>
              </w:rPr>
              <w:t xml:space="preserve">or a Director </w:t>
            </w:r>
            <w:r w:rsidR="00D02F61">
              <w:rPr>
                <w:rFonts w:ascii="Lato" w:hAnsi="Lato"/>
                <w:lang w:val="en-IE"/>
              </w:rPr>
              <w:t xml:space="preserve">or partner </w:t>
            </w:r>
            <w:r w:rsidR="006E54CB" w:rsidRPr="006E54CB">
              <w:rPr>
                <w:rFonts w:ascii="Lato" w:hAnsi="Lato"/>
                <w:lang w:val="en-IE"/>
              </w:rPr>
              <w:t>of the General Partner (in the case of an Investment Limited Partnership</w:t>
            </w:r>
            <w:r w:rsidR="006E54CB">
              <w:rPr>
                <w:rFonts w:ascii="Lato" w:hAnsi="Lato"/>
                <w:lang w:val="en-IE"/>
              </w:rPr>
              <w:t>).</w:t>
            </w:r>
            <w:r w:rsidRPr="001362A6">
              <w:rPr>
                <w:rFonts w:ascii="Lato" w:hAnsi="Lato"/>
                <w:lang w:val="en-IE"/>
              </w:rPr>
              <w:t xml:space="preserve">  Please note that the Additional Supervisory Levy notice under The Central Bank Act 1942 (Section 32D) (Additional </w:t>
            </w:r>
            <w:r>
              <w:rPr>
                <w:rFonts w:ascii="Lato" w:hAnsi="Lato"/>
                <w:lang w:val="en-IE"/>
              </w:rPr>
              <w:t xml:space="preserve">and Supplementary </w:t>
            </w:r>
            <w:r w:rsidRPr="001362A6">
              <w:rPr>
                <w:rFonts w:ascii="Lato" w:hAnsi="Lato"/>
                <w:lang w:val="en-IE"/>
              </w:rPr>
              <w:t>Supervisory Lev</w:t>
            </w:r>
            <w:r>
              <w:rPr>
                <w:rFonts w:ascii="Lato" w:hAnsi="Lato"/>
                <w:lang w:val="en-IE"/>
              </w:rPr>
              <w:t>ies – Regulated Entities</w:t>
            </w:r>
            <w:r w:rsidRPr="001362A6">
              <w:rPr>
                <w:rFonts w:ascii="Lato" w:hAnsi="Lato"/>
                <w:lang w:val="en-IE"/>
              </w:rPr>
              <w:t>) Regulations 201</w:t>
            </w:r>
            <w:r>
              <w:rPr>
                <w:rFonts w:ascii="Lato" w:hAnsi="Lato"/>
                <w:lang w:val="en-IE"/>
              </w:rPr>
              <w:t>9</w:t>
            </w:r>
            <w:r w:rsidRPr="001362A6">
              <w:rPr>
                <w:rFonts w:ascii="Lato" w:hAnsi="Lato"/>
                <w:lang w:val="en-IE"/>
              </w:rPr>
              <w:t xml:space="preserve"> will issue to this individual.</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before="240"/>
              <w:rPr>
                <w:rFonts w:ascii="Lato" w:hAnsi="Lato"/>
                <w:lang w:val="en-IE"/>
              </w:rPr>
            </w:pPr>
            <w:r>
              <w:rPr>
                <w:rFonts w:ascii="Lato" w:hAnsi="Lato"/>
                <w:lang w:val="en-IE"/>
              </w:rPr>
              <w:t>Name_________________________________________________________________________</w:t>
            </w:r>
          </w:p>
          <w:p w:rsidR="006B3EE9" w:rsidRDefault="006B3EE9" w:rsidP="006B3EE9">
            <w:pPr>
              <w:rPr>
                <w:rFonts w:ascii="Lato" w:hAnsi="Lato"/>
                <w:lang w:val="en-IE"/>
              </w:rPr>
            </w:pPr>
          </w:p>
          <w:p w:rsidR="006B3EE9" w:rsidRPr="008C6087" w:rsidRDefault="006B3EE9" w:rsidP="006B3EE9">
            <w:pPr>
              <w:spacing w:line="240" w:lineRule="auto"/>
              <w:rPr>
                <w:rFonts w:ascii="Lato" w:hAnsi="Lato"/>
                <w:szCs w:val="22"/>
              </w:rPr>
            </w:pPr>
            <w:r>
              <w:rPr>
                <w:rFonts w:ascii="Lato" w:hAnsi="Lato"/>
                <w:lang w:val="en-IE"/>
              </w:rPr>
              <w:t>Email address________________________________________________________________</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D02F61" w:rsidRPr="008C6087" w:rsidTr="00E35ECB">
        <w:tc>
          <w:tcPr>
            <w:tcW w:w="1107"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2.1.18</w:t>
            </w:r>
          </w:p>
        </w:tc>
        <w:tc>
          <w:tcPr>
            <w:tcW w:w="5479" w:type="dxa"/>
            <w:tcBorders>
              <w:top w:val="nil"/>
              <w:left w:val="nil"/>
              <w:bottom w:val="nil"/>
              <w:right w:val="nil"/>
            </w:tcBorders>
          </w:tcPr>
          <w:p w:rsidR="00D02F61" w:rsidRPr="008C6087" w:rsidRDefault="00D02F61" w:rsidP="006B3EE9">
            <w:pPr>
              <w:spacing w:line="240" w:lineRule="auto"/>
              <w:rPr>
                <w:rFonts w:ascii="Lato" w:hAnsi="Lato"/>
                <w:szCs w:val="22"/>
              </w:rPr>
            </w:pPr>
            <w:r>
              <w:rPr>
                <w:rFonts w:ascii="Lato" w:hAnsi="Lato"/>
                <w:szCs w:val="22"/>
              </w:rPr>
              <w:t>Investment Limited Partnership</w:t>
            </w:r>
          </w:p>
        </w:tc>
        <w:tc>
          <w:tcPr>
            <w:tcW w:w="1108" w:type="dxa"/>
            <w:gridSpan w:val="4"/>
            <w:tcBorders>
              <w:top w:val="nil"/>
              <w:left w:val="nil"/>
              <w:bottom w:val="nil"/>
              <w:right w:val="nil"/>
            </w:tcBorders>
          </w:tcPr>
          <w:p w:rsidR="00D02F61" w:rsidRPr="008C6087" w:rsidRDefault="00D02F61" w:rsidP="006B3EE9">
            <w:pPr>
              <w:spacing w:line="240" w:lineRule="auto"/>
              <w:rPr>
                <w:rFonts w:ascii="Lato" w:hAnsi="Lato"/>
                <w:szCs w:val="22"/>
              </w:rPr>
            </w:pPr>
          </w:p>
        </w:tc>
        <w:tc>
          <w:tcPr>
            <w:tcW w:w="53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1284" w:type="dxa"/>
            <w:gridSpan w:val="3"/>
            <w:tcBorders>
              <w:top w:val="nil"/>
              <w:left w:val="nil"/>
              <w:bottom w:val="nil"/>
              <w:right w:val="nil"/>
            </w:tcBorders>
          </w:tcPr>
          <w:p w:rsidR="00D02F61" w:rsidRPr="008C6087" w:rsidRDefault="00D02F61" w:rsidP="006B3EE9">
            <w:pPr>
              <w:spacing w:line="240" w:lineRule="auto"/>
              <w:rPr>
                <w:rFonts w:ascii="Lato" w:hAnsi="Lato"/>
                <w:szCs w:val="22"/>
              </w:rPr>
            </w:pPr>
          </w:p>
        </w:tc>
        <w:tc>
          <w:tcPr>
            <w:tcW w:w="270" w:type="dxa"/>
            <w:gridSpan w:val="6"/>
            <w:tcBorders>
              <w:top w:val="nil"/>
              <w:left w:val="nil"/>
              <w:bottom w:val="nil"/>
              <w:right w:val="nil"/>
            </w:tcBorders>
          </w:tcPr>
          <w:p w:rsidR="00D02F61" w:rsidRPr="008C6087" w:rsidRDefault="00D02F61" w:rsidP="006B3EE9">
            <w:pPr>
              <w:spacing w:line="240" w:lineRule="auto"/>
              <w:rPr>
                <w:rFonts w:ascii="Lato" w:hAnsi="Lato"/>
                <w:szCs w:val="22"/>
              </w:rPr>
            </w:pPr>
          </w:p>
        </w:tc>
        <w:tc>
          <w:tcPr>
            <w:tcW w:w="428" w:type="dxa"/>
            <w:gridSpan w:val="2"/>
            <w:tcBorders>
              <w:top w:val="nil"/>
              <w:left w:val="nil"/>
              <w:bottom w:val="nil"/>
              <w:right w:val="nil"/>
            </w:tcBorders>
          </w:tcPr>
          <w:p w:rsidR="00D02F61" w:rsidRPr="008C6087" w:rsidRDefault="00D02F61" w:rsidP="006B3EE9">
            <w:pPr>
              <w:spacing w:line="240" w:lineRule="auto"/>
              <w:rPr>
                <w:rFonts w:ascii="Lato" w:hAnsi="Lato"/>
                <w:szCs w:val="22"/>
              </w:rPr>
            </w:pPr>
          </w:p>
        </w:tc>
        <w:tc>
          <w:tcPr>
            <w:tcW w:w="681" w:type="dxa"/>
            <w:gridSpan w:val="7"/>
            <w:tcBorders>
              <w:top w:val="nil"/>
              <w:left w:val="nil"/>
              <w:bottom w:val="nil"/>
              <w:right w:val="nil"/>
            </w:tcBorders>
          </w:tcPr>
          <w:p w:rsidR="00D02F61" w:rsidRPr="008C6087" w:rsidRDefault="00D02F61" w:rsidP="006B3EE9">
            <w:pPr>
              <w:spacing w:line="240" w:lineRule="auto"/>
              <w:rPr>
                <w:rFonts w:ascii="Lato" w:hAnsi="Lato"/>
                <w:szCs w:val="22"/>
              </w:rPr>
            </w:pPr>
          </w:p>
        </w:tc>
        <w:tc>
          <w:tcPr>
            <w:tcW w:w="595" w:type="dxa"/>
            <w:gridSpan w:val="5"/>
            <w:tcBorders>
              <w:top w:val="nil"/>
              <w:left w:val="nil"/>
              <w:bottom w:val="nil"/>
              <w:right w:val="nil"/>
            </w:tcBorders>
          </w:tcPr>
          <w:p w:rsidR="00D02F61" w:rsidRPr="008C6087" w:rsidDel="00560C4B" w:rsidRDefault="00D02F61"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780075" w:rsidRDefault="006B3EE9" w:rsidP="006B3EE9">
            <w:pPr>
              <w:jc w:val="both"/>
              <w:rPr>
                <w:rFonts w:ascii="Lato" w:hAnsi="Lato"/>
                <w:color w:val="000000"/>
                <w:szCs w:val="22"/>
              </w:rPr>
            </w:pPr>
            <w:r w:rsidRPr="00780075">
              <w:rPr>
                <w:rFonts w:ascii="Lato" w:hAnsi="Lato"/>
                <w:bCs/>
                <w:noProof/>
                <w:color w:val="000000"/>
                <w:szCs w:val="22"/>
                <w:lang w:val="en-US"/>
              </w:rPr>
              <w:t xml:space="preserve">For </w:t>
            </w:r>
            <w:r w:rsidRPr="00780075">
              <w:rPr>
                <w:rFonts w:ascii="Lato" w:hAnsi="Lato"/>
                <w:b/>
                <w:bCs/>
                <w:noProof/>
                <w:color w:val="000000"/>
                <w:szCs w:val="22"/>
                <w:u w:val="single"/>
                <w:lang w:val="en-US"/>
              </w:rPr>
              <w:t>Investment Limited Partnerships</w:t>
            </w:r>
            <w:r w:rsidRPr="00780075">
              <w:rPr>
                <w:rFonts w:ascii="Lato" w:hAnsi="Lato"/>
                <w:bCs/>
                <w:noProof/>
                <w:color w:val="000000"/>
                <w:szCs w:val="22"/>
                <w:lang w:val="en-US"/>
              </w:rPr>
              <w:t xml:space="preserve"> (“ILPs”), please note that </w:t>
            </w:r>
            <w:r>
              <w:rPr>
                <w:rFonts w:ascii="Lato" w:hAnsi="Lato"/>
                <w:bCs/>
                <w:noProof/>
                <w:color w:val="000000"/>
                <w:szCs w:val="22"/>
                <w:lang w:val="en-US"/>
              </w:rPr>
              <w:t>in accordance with</w:t>
            </w:r>
            <w:r w:rsidRPr="00780075">
              <w:rPr>
                <w:rFonts w:ascii="Lato" w:hAnsi="Lato"/>
                <w:bCs/>
                <w:noProof/>
                <w:color w:val="000000"/>
                <w:szCs w:val="22"/>
                <w:lang w:val="en-US"/>
              </w:rPr>
              <w:t xml:space="preserve"> </w:t>
            </w:r>
            <w:r w:rsidRPr="00780075">
              <w:rPr>
                <w:rFonts w:ascii="Lato" w:hAnsi="Lato"/>
                <w:color w:val="000000"/>
                <w:szCs w:val="22"/>
              </w:rPr>
              <w:t xml:space="preserve">Section 8 (4) of the </w:t>
            </w:r>
            <w:r>
              <w:rPr>
                <w:rFonts w:ascii="Lato" w:hAnsi="Lato"/>
                <w:color w:val="000000"/>
                <w:szCs w:val="22"/>
              </w:rPr>
              <w:t>Investment Limited Partnerships Act, 1994 (as amended)</w:t>
            </w:r>
            <w:r w:rsidRPr="00780075">
              <w:rPr>
                <w:rFonts w:ascii="Lato" w:hAnsi="Lato"/>
                <w:color w:val="000000"/>
                <w:szCs w:val="22"/>
              </w:rPr>
              <w:t xml:space="preserve">: ‘The application shall be in such form as the Bank may prescribe and shall be accompanied by a payment to the Bank of an authorisation fee of such amount as the Minister shall from time to time by regulation prescribe’, and </w:t>
            </w:r>
            <w:r>
              <w:rPr>
                <w:rFonts w:ascii="Lato" w:hAnsi="Lato"/>
                <w:color w:val="000000"/>
                <w:szCs w:val="22"/>
              </w:rPr>
              <w:t xml:space="preserve">in accordance with </w:t>
            </w:r>
            <w:r w:rsidRPr="00AC4F50">
              <w:rPr>
                <w:rFonts w:ascii="Lato" w:hAnsi="Lato"/>
                <w:color w:val="000000"/>
                <w:szCs w:val="22"/>
              </w:rPr>
              <w:t>Investment Limited Partnerships Act, 1994 (Authorisation Fee) Regulations, 1994</w:t>
            </w:r>
            <w:r w:rsidRPr="00780075">
              <w:rPr>
                <w:rFonts w:ascii="Lato" w:hAnsi="Lato"/>
                <w:color w:val="000000"/>
                <w:szCs w:val="22"/>
              </w:rPr>
              <w:t>, that amount is equal to £1,000 (an amount deemed equivalent to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p>
          <w:p w:rsidR="006B3EE9" w:rsidRPr="00780075" w:rsidRDefault="006B3EE9" w:rsidP="006B3EE9">
            <w:pPr>
              <w:spacing w:line="300" w:lineRule="exact"/>
              <w:jc w:val="both"/>
              <w:rPr>
                <w:rFonts w:ascii="Lato" w:hAnsi="Lato"/>
                <w:snapToGrid w:val="0"/>
                <w:color w:val="000000"/>
                <w:szCs w:val="22"/>
              </w:rPr>
            </w:pPr>
            <w:r w:rsidRPr="00780075">
              <w:rPr>
                <w:rFonts w:ascii="Lato" w:hAnsi="Lato"/>
                <w:b/>
                <w:snapToGrid w:val="0"/>
                <w:color w:val="000000"/>
                <w:szCs w:val="22"/>
              </w:rPr>
              <w:t>Please note that this fee is payable in euro prior to authorisation and</w:t>
            </w:r>
            <w:r w:rsidRPr="00780075">
              <w:rPr>
                <w:rFonts w:ascii="Lato" w:hAnsi="Lato"/>
                <w:snapToGrid w:val="0"/>
                <w:color w:val="000000"/>
                <w:szCs w:val="22"/>
              </w:rPr>
              <w:t xml:space="preserve"> </w:t>
            </w:r>
            <w:r w:rsidRPr="00780075">
              <w:rPr>
                <w:rFonts w:ascii="Lato" w:hAnsi="Lato"/>
                <w:b/>
                <w:snapToGrid w:val="0"/>
                <w:color w:val="000000"/>
                <w:szCs w:val="22"/>
              </w:rPr>
              <w:t xml:space="preserve">no authorisation can take place until this fee has been received by the </w:t>
            </w:r>
            <w:r>
              <w:rPr>
                <w:rFonts w:ascii="Lato" w:hAnsi="Lato"/>
                <w:b/>
                <w:snapToGrid w:val="0"/>
                <w:color w:val="000000"/>
                <w:szCs w:val="22"/>
              </w:rPr>
              <w:t xml:space="preserve">Central </w:t>
            </w:r>
            <w:r w:rsidRPr="00780075">
              <w:rPr>
                <w:rFonts w:ascii="Lato" w:hAnsi="Lato"/>
                <w:b/>
                <w:snapToGrid w:val="0"/>
                <w:color w:val="000000"/>
                <w:szCs w:val="22"/>
              </w:rPr>
              <w:t>Bank</w:t>
            </w:r>
            <w:r w:rsidRPr="00780075">
              <w:rPr>
                <w:rFonts w:ascii="Lato" w:hAnsi="Lato"/>
                <w:snapToGrid w:val="0"/>
                <w:color w:val="000000"/>
                <w:szCs w:val="22"/>
              </w:rPr>
              <w:t xml:space="preserve">. </w:t>
            </w:r>
          </w:p>
          <w:p w:rsidR="006B3EE9" w:rsidRPr="00780075" w:rsidRDefault="006B3EE9" w:rsidP="006B3EE9">
            <w:pPr>
              <w:spacing w:before="120" w:after="120"/>
              <w:jc w:val="both"/>
              <w:rPr>
                <w:rFonts w:ascii="Lato" w:hAnsi="Lato"/>
                <w:color w:val="000000"/>
                <w:szCs w:val="22"/>
              </w:rPr>
            </w:pPr>
            <w:r w:rsidRPr="00780075">
              <w:rPr>
                <w:rFonts w:ascii="Lato" w:hAnsi="Lato"/>
                <w:color w:val="000000"/>
                <w:szCs w:val="22"/>
              </w:rPr>
              <w:t>Fee                                         €1</w:t>
            </w:r>
            <w:r>
              <w:rPr>
                <w:rFonts w:ascii="Lato" w:hAnsi="Lato"/>
                <w:color w:val="000000"/>
                <w:szCs w:val="22"/>
              </w:rPr>
              <w:t>,</w:t>
            </w:r>
            <w:r w:rsidRPr="00780075">
              <w:rPr>
                <w:rFonts w:ascii="Lato" w:hAnsi="Lato"/>
                <w:color w:val="000000"/>
                <w:szCs w:val="22"/>
              </w:rPr>
              <w:t>269.70</w:t>
            </w:r>
          </w:p>
          <w:p w:rsidR="006B3EE9" w:rsidRPr="00780075" w:rsidRDefault="006B3EE9" w:rsidP="006B3EE9">
            <w:pPr>
              <w:jc w:val="both"/>
              <w:rPr>
                <w:rFonts w:ascii="Lato" w:hAnsi="Lato"/>
                <w:color w:val="000000"/>
                <w:szCs w:val="22"/>
              </w:rPr>
            </w:pPr>
            <w:r w:rsidRPr="00780075">
              <w:rPr>
                <w:rFonts w:ascii="Lato" w:hAnsi="Lato"/>
                <w:color w:val="000000"/>
                <w:szCs w:val="22"/>
              </w:rPr>
              <w:t>Please make the relevant payment by electronic transfer in the following format to the bank account listed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color w:val="000000"/>
                <w:szCs w:val="22"/>
              </w:rPr>
              <w:t>Please quote ILPXXXX (ILP followed by your relevant C-Number without the C, e.g., C12345 should be ILP12345) in the payment advice for an electronic transfer to the account details below.</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color w:val="000000"/>
                <w:szCs w:val="22"/>
              </w:rPr>
            </w:pPr>
            <w:r w:rsidRPr="00780075">
              <w:rPr>
                <w:rFonts w:ascii="Lato" w:hAnsi="Lato"/>
                <w:bCs/>
                <w:color w:val="000000"/>
                <w:szCs w:val="22"/>
              </w:rPr>
              <w:t>Billing Account Name:</w:t>
            </w:r>
            <w:r w:rsidRPr="00780075">
              <w:rPr>
                <w:rFonts w:ascii="Lato" w:hAnsi="Lato"/>
                <w:color w:val="000000"/>
                <w:szCs w:val="22"/>
              </w:rPr>
              <w:t xml:space="preserve"> </w:t>
            </w:r>
            <w:r w:rsidRPr="00780075">
              <w:rPr>
                <w:rFonts w:ascii="Lato" w:hAnsi="Lato"/>
                <w:bCs/>
                <w:color w:val="000000"/>
                <w:szCs w:val="22"/>
              </w:rPr>
              <w:t xml:space="preserve">Central Bank of Ireland — Application Fees Account </w:t>
            </w:r>
            <w:r w:rsidRPr="00780075">
              <w:rPr>
                <w:rFonts w:ascii="Lato" w:hAnsi="Lato"/>
                <w:color w:val="000000"/>
                <w:szCs w:val="22"/>
              </w:rPr>
              <w:t> </w:t>
            </w:r>
          </w:p>
          <w:p w:rsidR="006B3EE9" w:rsidRPr="00780075" w:rsidRDefault="006B3EE9" w:rsidP="006B3EE9">
            <w:pPr>
              <w:jc w:val="both"/>
              <w:rPr>
                <w:rFonts w:ascii="Lato" w:hAnsi="Lato"/>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rPr>
              <w:t>BIC :       DABAIE2D</w:t>
            </w:r>
          </w:p>
          <w:p w:rsidR="006B3EE9" w:rsidRPr="00780075" w:rsidRDefault="006B3EE9" w:rsidP="006B3EE9">
            <w:pPr>
              <w:jc w:val="both"/>
              <w:rPr>
                <w:rFonts w:ascii="Lato" w:hAnsi="Lato"/>
                <w:bCs/>
                <w:color w:val="000000"/>
                <w:szCs w:val="22"/>
              </w:rPr>
            </w:pPr>
          </w:p>
          <w:p w:rsidR="006B3EE9" w:rsidRPr="00780075" w:rsidRDefault="006B3EE9" w:rsidP="006B3EE9">
            <w:pPr>
              <w:jc w:val="both"/>
              <w:rPr>
                <w:rFonts w:ascii="Lato" w:hAnsi="Lato"/>
                <w:bCs/>
                <w:color w:val="000000"/>
                <w:szCs w:val="22"/>
              </w:rPr>
            </w:pPr>
            <w:r w:rsidRPr="00780075">
              <w:rPr>
                <w:rFonts w:ascii="Lato" w:hAnsi="Lato"/>
                <w:bCs/>
                <w:color w:val="000000"/>
                <w:szCs w:val="22"/>
                <w:lang w:val="en-US"/>
              </w:rPr>
              <w:t>IBAN :</w:t>
            </w:r>
            <w:r w:rsidRPr="00780075">
              <w:rPr>
                <w:rFonts w:ascii="Lato" w:hAnsi="Lato"/>
                <w:bCs/>
                <w:color w:val="000000"/>
                <w:szCs w:val="22"/>
              </w:rPr>
              <w:t>    IE93 DABA 951990 1000 3891</w:t>
            </w:r>
          </w:p>
          <w:p w:rsidR="006B3EE9" w:rsidRPr="00780075" w:rsidRDefault="006B3EE9" w:rsidP="006B3EE9">
            <w:pPr>
              <w:jc w:val="both"/>
              <w:rPr>
                <w:rFonts w:ascii="Lato" w:hAnsi="Lato"/>
                <w:color w:val="000000"/>
                <w:szCs w:val="22"/>
              </w:rPr>
            </w:pPr>
          </w:p>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Del="00560C4B"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2.2</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Investment Objective and Policy</w:t>
            </w:r>
          </w:p>
        </w:tc>
        <w:tc>
          <w:tcPr>
            <w:tcW w:w="1108" w:type="dxa"/>
            <w:gridSpan w:val="4"/>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investment objective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a description of the investment objectives and</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policies and strategies of the Retail Investor AIF.  These descriptions must be comprehensive and accurate, readily comprehensive to investors and be sufficient to enable investors make an informed judgement on the investment proposed to them.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2.2.3 </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 xml:space="preserve">Investment in </w:t>
            </w:r>
            <w:r w:rsidRPr="008C6087">
              <w:rPr>
                <w:rFonts w:ascii="Lato" w:hAnsi="Lato"/>
                <w:bCs/>
                <w:szCs w:val="22"/>
                <w:u w:val="single"/>
              </w:rPr>
              <w:t xml:space="preserve">Securities (including units/shares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bCs/>
                <w:szCs w:val="22"/>
                <w:u w:val="single"/>
              </w:rPr>
              <w:t>closed-</w:t>
            </w:r>
            <w:r w:rsidRPr="008C6087">
              <w:rPr>
                <w:rFonts w:ascii="Lato" w:hAnsi="Lato"/>
                <w:bCs/>
                <w:szCs w:val="22"/>
                <w:u w:val="single"/>
              </w:rPr>
              <w:t>ended schemes</w:t>
            </w:r>
            <w:r w:rsidRPr="008C6087">
              <w:rPr>
                <w:rFonts w:ascii="Lato" w:hAnsi="Lato"/>
                <w:szCs w:val="22"/>
              </w:rPr>
              <w:t xml:space="preserve"> (e.g. equities, bonds)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full details of the types of securities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will invest in (it is not sufficient to simply state securities)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‘cash equivalents’, ‘equity-related’ securities,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‘money market instruments’, ‘short-term investments’, etc., are provided for, give an indication of the proposed investment types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Where a scheme invests in bonds, indicate whether they are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government and/or corporate; and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b) fixed and/or floating 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disclose investment rating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Indicate if the Retail Investor AIF will concentrate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rPr>
              <w:t>investment in any</w:t>
            </w:r>
            <w:r w:rsidRPr="008C6087">
              <w:rPr>
                <w:rFonts w:ascii="Lato" w:hAnsi="Lato"/>
                <w:szCs w:val="22"/>
              </w:rPr>
              <w:t xml:space="preserve"> industry or geographical sectors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track the performance</w:t>
            </w:r>
            <w:r w:rsidRPr="008C6087">
              <w:rPr>
                <w:rFonts w:ascii="Lato" w:hAnsi="Lato"/>
                <w:szCs w:val="22"/>
              </w:rPr>
              <w:t xml:space="preserve"> of an index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this clearly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Provide a description of the index.</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any change in the index is a change in policy and must be disclosed in the Prospectus)</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Outline the procedure to be adopted when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weighting of any particular stock exceeds the permitted investment restrictions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a Retail Investor AIF intends to </w:t>
            </w:r>
            <w:r w:rsidRPr="008C6087">
              <w:rPr>
                <w:rFonts w:ascii="Lato" w:hAnsi="Lato"/>
                <w:szCs w:val="22"/>
                <w:u w:val="single"/>
              </w:rPr>
              <w:t>measure its</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u w:val="single"/>
              </w:rPr>
              <w:t>performance</w:t>
            </w:r>
            <w:r w:rsidRPr="008C6087">
              <w:rPr>
                <w:rFonts w:ascii="Lato" w:hAnsi="Lato"/>
                <w:szCs w:val="22"/>
              </w:rPr>
              <w:t xml:space="preserve"> against a particular index disclose a description of the index.  (Note: any change in the index must be disclosed in periodic reports)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2.2.4</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Investment in other investment funds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Clearly indicate the extent to which it is intended to</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invest in underlying investment funds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this is the case, confirm Appendix 4 and/or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Appendix 5 is attached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State that additional fees will arise from this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investment </w:t>
            </w:r>
            <w:r w:rsidRPr="008C6087">
              <w:rPr>
                <w:rFonts w:ascii="Lato" w:hAnsi="Lato"/>
                <w:szCs w:val="22"/>
              </w:rPr>
              <w:t>policy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and quantify to the extent possible, the types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of </w:t>
            </w:r>
            <w:r w:rsidRPr="008C6087">
              <w:rPr>
                <w:rFonts w:ascii="Lato" w:hAnsi="Lato"/>
                <w:szCs w:val="22"/>
              </w:rPr>
              <w:t>charges and other costs relating to the underlying investment funds which will be borne by the Retail Investor AIF.</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to the extent possible, the fees which will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arise </w:t>
            </w:r>
            <w:r w:rsidRPr="008C6087">
              <w:rPr>
                <w:rFonts w:ascii="Lato" w:hAnsi="Lato"/>
                <w:szCs w:val="22"/>
              </w:rPr>
              <w:t>at the level of the underlying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both the jurisdiction and type of underlying</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into which the Retail Investor AIF proposes to invest</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If it is intended to invest in unregulated investment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funds, </w:t>
            </w:r>
            <w:r w:rsidRPr="008C6087">
              <w:rPr>
                <w:rFonts w:ascii="Lato" w:hAnsi="Lato"/>
                <w:szCs w:val="22"/>
              </w:rPr>
              <w:t>disclose the nature of the underlying investment fund and information on whether the underlying investment fund may be leveraged and the attendant risks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Where the Retail Investor Fund invests more than 30%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rPr>
            </w:pPr>
            <w:r>
              <w:rPr>
                <w:rFonts w:ascii="Lato" w:hAnsi="Lato"/>
              </w:rPr>
              <w:t xml:space="preserve">of </w:t>
            </w:r>
            <w:r w:rsidRPr="008C6087">
              <w:rPr>
                <w:rFonts w:ascii="Lato" w:hAnsi="Lato"/>
              </w:rPr>
              <w:t>net assets in other investment funds, it must ensure that the investment funds in which it invests are prohibited from investing more than 30% of net assets in other investment funds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2.2.5</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 structured Retail Investor AIF must disclose:</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full details regarding the investment policy;</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underlying exposure;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payoff formulas in clear language which can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be easily understood by the retail investor;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prominent risk warning informing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 who redeem their investment prior to maturity that they do not benefit from the pre-defined payoff and may suffer significant losses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Leverage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3"/>
        </w:trPr>
        <w:tc>
          <w:tcPr>
            <w:tcW w:w="1107" w:type="dxa"/>
            <w:tcBorders>
              <w:top w:val="nil"/>
              <w:left w:val="nil"/>
              <w:bottom w:val="nil"/>
              <w:right w:val="nil"/>
            </w:tcBorders>
          </w:tcPr>
          <w:p w:rsidR="006B3EE9" w:rsidRPr="008C6087" w:rsidRDefault="006B3EE9" w:rsidP="006B3EE9">
            <w:pPr>
              <w:numPr>
                <w:ilvl w:val="0"/>
                <w:numId w:val="22"/>
              </w:num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quantitative parameters on the extent 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leverage which will be engaged in by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ind w:hanging="544"/>
              <w:jc w:val="right"/>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method (i.e. commitment/VaR)of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calculating </w:t>
            </w:r>
            <w:r w:rsidRPr="008C6087">
              <w:rPr>
                <w:rFonts w:ascii="Lato" w:hAnsi="Lato"/>
                <w:szCs w:val="22"/>
              </w:rPr>
              <w:t xml:space="preserve">the Retail Investor AIF’s global exposure.  </w:t>
            </w:r>
          </w:p>
          <w:p w:rsidR="006B3EE9" w:rsidRPr="008C6087" w:rsidRDefault="006B3EE9" w:rsidP="006B3EE9">
            <w:pPr>
              <w:spacing w:line="240" w:lineRule="auto"/>
              <w:ind w:left="720"/>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commitment method is used state that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99"/>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Retail </w:t>
            </w:r>
            <w:r w:rsidRPr="008C6087">
              <w:rPr>
                <w:rFonts w:ascii="Lato" w:hAnsi="Lato"/>
                <w:szCs w:val="22"/>
              </w:rPr>
              <w:t>Investor AIF shall ensure that its global exposure does not exceed its total net asset value.  The retail investor AIF may not therefore  be leveraged in excess of 100% of NAV</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circumstances in which the Retail Investor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AIF </w:t>
            </w:r>
            <w:r w:rsidRPr="008C6087">
              <w:rPr>
                <w:rFonts w:ascii="Lato" w:hAnsi="Lato"/>
                <w:szCs w:val="22"/>
              </w:rPr>
              <w:t>may use leverage</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types and sources of leverage permitted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and </w:t>
            </w:r>
            <w:r w:rsidRPr="008C6087">
              <w:rPr>
                <w:rFonts w:ascii="Lato" w:hAnsi="Lato"/>
                <w:szCs w:val="22"/>
              </w:rPr>
              <w:t>the associated risks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any restrictions on the use of leverage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r>
              <w:rPr>
                <w:rFonts w:ascii="Lato" w:hAnsi="Lato"/>
                <w:szCs w:val="22"/>
              </w:rPr>
              <w:t xml:space="preserve">any </w:t>
            </w:r>
            <w:r w:rsidRPr="008C6087">
              <w:rPr>
                <w:rFonts w:ascii="Lato" w:hAnsi="Lato"/>
                <w:szCs w:val="22"/>
              </w:rPr>
              <w:t>collateral and asset reuse arrangements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numPr>
                <w:ilvl w:val="0"/>
                <w:numId w:val="2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307718" w:rsidRDefault="006B3EE9" w:rsidP="006B3EE9">
            <w:pPr>
              <w:spacing w:line="240" w:lineRule="auto"/>
              <w:rPr>
                <w:rFonts w:ascii="Lato" w:hAnsi="Lato"/>
                <w:szCs w:val="22"/>
              </w:rPr>
            </w:pPr>
            <w:r w:rsidRPr="008C6087">
              <w:rPr>
                <w:rFonts w:ascii="Lato" w:hAnsi="Lato"/>
                <w:szCs w:val="22"/>
              </w:rPr>
              <w:t xml:space="preserve">Disclose the maximum level of leverage which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 xml:space="preserve">AIFM </w:t>
            </w:r>
            <w:r w:rsidRPr="008C6087">
              <w:rPr>
                <w:rFonts w:ascii="Lato" w:hAnsi="Lato"/>
                <w:szCs w:val="22"/>
              </w:rPr>
              <w:t>are entitled to employ on behalf of the Retail Investor AIF</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111"/>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307718"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bCs w:val="0"/>
                <w:szCs w:val="22"/>
              </w:rPr>
            </w:pPr>
            <w:r w:rsidRPr="008C6087">
              <w:rPr>
                <w:rFonts w:ascii="Lato" w:hAnsi="Lato"/>
                <w:b w:val="0"/>
                <w:bCs w:val="0"/>
                <w:szCs w:val="22"/>
              </w:rPr>
              <w:t>Markets/Exchanges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in the policy section, on which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exchanges/markets</w:t>
            </w:r>
            <w:r w:rsidRPr="00701466">
              <w:rPr>
                <w:rFonts w:ascii="Lato" w:hAnsi="Lato"/>
                <w:szCs w:val="22"/>
              </w:rPr>
              <w:t xml:space="preserve"> </w:t>
            </w:r>
            <w:r w:rsidRPr="008C6087">
              <w:rPr>
                <w:rFonts w:ascii="Lato" w:hAnsi="Lato"/>
                <w:szCs w:val="22"/>
              </w:rPr>
              <w:t xml:space="preserve">the Retail Investor AIF’s investments in securities (other than permitted investments in unlisted investments) will be listed or traded (This should include any short term securities held for temporary defensive/ancillary liquid asset purposes.)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it is the intention to seek exposure to a country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or</w:t>
            </w:r>
            <w:r w:rsidRPr="00701466">
              <w:rPr>
                <w:rFonts w:ascii="Lato" w:hAnsi="Lato"/>
                <w:szCs w:val="22"/>
              </w:rPr>
              <w:t xml:space="preserve"> </w:t>
            </w:r>
            <w:r w:rsidRPr="008C6087">
              <w:rPr>
                <w:rFonts w:ascii="Lato" w:hAnsi="Lato"/>
                <w:szCs w:val="22"/>
              </w:rPr>
              <w:t>region through investment in companies/instruments traded on stock exchanges or markets located in other jurisdictions, disclose this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trHeight w:val="26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2.2.9   (a)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List the markets and stock exchanges (including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rPr>
          <w:trHeight w:val="51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derivative</w:t>
            </w:r>
            <w:r w:rsidRPr="00701466">
              <w:rPr>
                <w:rFonts w:ascii="Lato" w:hAnsi="Lato"/>
                <w:szCs w:val="22"/>
              </w:rPr>
              <w:t xml:space="preserve"> </w:t>
            </w:r>
            <w:r w:rsidRPr="008C6087">
              <w:rPr>
                <w:rFonts w:ascii="Lato" w:hAnsi="Lato"/>
                <w:szCs w:val="22"/>
              </w:rPr>
              <w:t xml:space="preserve">markets) on which securities or financial derivative instruments of the Retail Investor AIF are listed or traded.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shd w:val="clear" w:color="auto" w:fill="auto"/>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the following statements with the list of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exchanges/</w:t>
            </w:r>
            <w:r w:rsidRPr="008C6087">
              <w:rPr>
                <w:rFonts w:ascii="Lato" w:hAnsi="Lato"/>
                <w:szCs w:val="22"/>
              </w:rPr>
              <w:t>markets (including derivative markets) on which securities or financial derivative instruments of the Retail Investor AIF are listed or traded: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exchanges and markets are listed in accordance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with</w:t>
            </w:r>
            <w:r w:rsidRPr="00701466">
              <w:rPr>
                <w:rFonts w:ascii="Lato" w:hAnsi="Lato"/>
                <w:szCs w:val="22"/>
              </w:rPr>
              <w:t xml:space="preserve"> </w:t>
            </w:r>
            <w:r w:rsidRPr="008C6087">
              <w:rPr>
                <w:rFonts w:ascii="Lato" w:hAnsi="Lato"/>
                <w:szCs w:val="22"/>
              </w:rPr>
              <w:t>the requirements of the Central Bank;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numPr>
                <w:ilvl w:val="0"/>
                <w:numId w:val="2"/>
              </w:num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Central Bank does not issue a list of approved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szCs w:val="22"/>
              </w:rPr>
              <w:t>markets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701466"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701466"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A860FB"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2A62A4"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72141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11B8B"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Note: Only those stock exchanges and markets which meet with the regulatory criteria (i.e. regulated, operate regularly, be recognised and open to the public) at the date of the prospectus, may be included.</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2.2.10</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u w:val="single"/>
              </w:rPr>
            </w:pPr>
            <w:r w:rsidRPr="008C6087">
              <w:rPr>
                <w:rFonts w:ascii="Lato" w:hAnsi="Lato"/>
                <w:szCs w:val="22"/>
                <w:u w:val="single"/>
              </w:rPr>
              <w:t xml:space="preserve">Retail Investor AIF with higher than normal risk </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Does the investment policy of the Retail Investor AIF</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involve a higher than normal level of risk, i.e. invest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more than:</w:t>
            </w:r>
            <w:r w:rsidRPr="008C6087">
              <w:rPr>
                <w:rFonts w:ascii="Lato" w:hAnsi="Lato"/>
                <w:szCs w:val="22"/>
              </w:rPr>
              <w:t xml:space="preserve">20% in emerging markets (“Emerging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 xml:space="preserve">Markets </w:t>
            </w:r>
            <w:r w:rsidRPr="008C6087">
              <w:rPr>
                <w:rFonts w:ascii="Lato" w:hAnsi="Lato"/>
                <w:szCs w:val="22"/>
              </w:rPr>
              <w:t>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Or</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30% in below investment grade securities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Yes/No</w:t>
            </w:r>
          </w:p>
        </w:tc>
        <w:tc>
          <w:tcPr>
            <w:tcW w:w="270" w:type="dxa"/>
            <w:gridSpan w:val="6"/>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If yes disclose in bold text in a prominent position in the prospectus:</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An investment in the Retail Investor AIF should not</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constitute a substantial proportion of an investment portfolio and may not be appropriate for all investors.</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The Retail Investor AIFs must identify, and describe in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a</w:t>
            </w:r>
            <w:r w:rsidRPr="00701466">
              <w:rPr>
                <w:rFonts w:ascii="Lato" w:hAnsi="Lato"/>
                <w:szCs w:val="22"/>
              </w:rPr>
              <w:t xml:space="preserve"> </w:t>
            </w:r>
            <w:r w:rsidRPr="008C6087">
              <w:rPr>
                <w:rFonts w:ascii="Lato" w:hAnsi="Lato"/>
                <w:szCs w:val="22"/>
              </w:rPr>
              <w:t>comprehensive manner, the risks applicable to investing in that particular Retail Investor AIF. In particular the Retail Investor AIF should make reference to:</w:t>
            </w: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(a) the fact that prices of units may fall as well as rise;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jc w:val="right"/>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(b) the desirability of consulting a stockbroker or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financial</w:t>
            </w:r>
            <w:r w:rsidRPr="00701466">
              <w:rPr>
                <w:rFonts w:ascii="Lato" w:hAnsi="Lato"/>
                <w:szCs w:val="22"/>
              </w:rPr>
              <w:t xml:space="preserve"> </w:t>
            </w:r>
            <w:r w:rsidRPr="008C6087">
              <w:rPr>
                <w:rFonts w:ascii="Lato" w:hAnsi="Lato"/>
                <w:szCs w:val="22"/>
              </w:rPr>
              <w:t>adviser about the contents of the prospectus; and</w:t>
            </w: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Del="00075CE7" w:rsidRDefault="006B3EE9" w:rsidP="006B3EE9">
            <w:pPr>
              <w:spacing w:line="240" w:lineRule="auto"/>
              <w:rPr>
                <w:rFonts w:ascii="Lato" w:hAnsi="Lato"/>
                <w:szCs w:val="22"/>
              </w:rPr>
            </w:pPr>
            <w:r w:rsidRPr="008C6087">
              <w:rPr>
                <w:rFonts w:ascii="Lato" w:hAnsi="Lato"/>
                <w:szCs w:val="22"/>
              </w:rPr>
              <w:t xml:space="preserve">(c) where relevant, the fact that the difference at any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075CE7" w:rsidRDefault="006B3EE9" w:rsidP="006B3EE9">
            <w:pPr>
              <w:spacing w:line="240" w:lineRule="auto"/>
              <w:rPr>
                <w:rFonts w:ascii="Lato" w:hAnsi="Lato"/>
                <w:szCs w:val="22"/>
              </w:rPr>
            </w:pPr>
            <w:r w:rsidRPr="00E4379D">
              <w:rPr>
                <w:rFonts w:ascii="Lato" w:hAnsi="Lato"/>
                <w:szCs w:val="22"/>
              </w:rPr>
              <w:t>one</w:t>
            </w:r>
            <w:r w:rsidRPr="00701466">
              <w:rPr>
                <w:rFonts w:ascii="Lato" w:hAnsi="Lato"/>
                <w:szCs w:val="22"/>
              </w:rPr>
              <w:t xml:space="preserve"> </w:t>
            </w:r>
            <w:r w:rsidRPr="008C6087">
              <w:rPr>
                <w:rFonts w:ascii="Lato" w:hAnsi="Lato"/>
                <w:szCs w:val="22"/>
              </w:rPr>
              <w:t>time between the sale and repurchase price of units in the Retail Investor AIF means that the investment must be viewed as medium to long term.</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color w:val="auto"/>
                <w:sz w:val="22"/>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2.2.11</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bCs/>
                <w:szCs w:val="22"/>
                <w:u w:val="single"/>
              </w:rPr>
              <w:t>Techniques and instruments for the purpose of efficient portfolio management</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if it is the Retail Investor AIF’s intention to use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techniques and instruments for efficient portfolio management purposes and state that these are subject to the conditions and limits applicable to Retail Investor AIFs as laid down in the AIF Rulebook.</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different techniques and instruments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which</w:t>
            </w:r>
            <w:r w:rsidRPr="00701466">
              <w:rPr>
                <w:rFonts w:ascii="Lato" w:hAnsi="Lato"/>
                <w:szCs w:val="22"/>
              </w:rPr>
              <w:t xml:space="preserve"> </w:t>
            </w:r>
            <w:r w:rsidRPr="008C6087">
              <w:rPr>
                <w:rFonts w:ascii="Lato" w:hAnsi="Lato"/>
                <w:szCs w:val="22"/>
              </w:rPr>
              <w:t>can be utilised</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 </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policy regarding direct and indirect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operational</w:t>
            </w:r>
            <w:r w:rsidRPr="00701466">
              <w:rPr>
                <w:rFonts w:ascii="Lato" w:hAnsi="Lato"/>
                <w:szCs w:val="22"/>
              </w:rPr>
              <w:t xml:space="preserve"> </w:t>
            </w:r>
            <w:r w:rsidRPr="008C6087">
              <w:rPr>
                <w:rFonts w:ascii="Lato" w:hAnsi="Lato"/>
                <w:szCs w:val="22"/>
              </w:rPr>
              <w:t xml:space="preserve">costs/fees arising from efficient portfolio management techniques that may be deducted from revenue delivered to the Retail Investor AIF. </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These costs and fees should not include hidden revenue.</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(v)</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identity of the entity (ies) to which the </w:t>
            </w:r>
          </w:p>
        </w:tc>
        <w:tc>
          <w:tcPr>
            <w:tcW w:w="1108"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38" w:type="dxa"/>
            <w:gridSpan w:val="2"/>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70"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81" w:type="dxa"/>
            <w:gridSpan w:val="7"/>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E4379D">
              <w:rPr>
                <w:rFonts w:ascii="Lato" w:hAnsi="Lato"/>
                <w:szCs w:val="22"/>
              </w:rPr>
              <w:t>direct</w:t>
            </w:r>
            <w:r w:rsidRPr="00701466">
              <w:rPr>
                <w:rFonts w:ascii="Lato" w:hAnsi="Lato"/>
                <w:szCs w:val="22"/>
              </w:rPr>
              <w:t xml:space="preserve"> </w:t>
            </w:r>
            <w:r w:rsidRPr="008C6087">
              <w:rPr>
                <w:rFonts w:ascii="Lato" w:hAnsi="Lato"/>
                <w:szCs w:val="22"/>
              </w:rPr>
              <w:t>and indirect costs and fees are paid and indicate if these are related parties to the management company, AIFM of the depository.</w:t>
            </w:r>
          </w:p>
        </w:tc>
        <w:tc>
          <w:tcPr>
            <w:tcW w:w="1108"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6"/>
              <w:rPr>
                <w:rFonts w:ascii="Lato" w:hAnsi="Lato"/>
                <w:b w:val="0"/>
                <w:szCs w:val="22"/>
              </w:rPr>
            </w:pPr>
            <w:r w:rsidRPr="008C6087">
              <w:rPr>
                <w:rFonts w:ascii="Lato" w:hAnsi="Lato"/>
                <w:b w:val="0"/>
                <w:szCs w:val="22"/>
              </w:rPr>
              <w:t>Risk Disclosure</w:t>
            </w:r>
          </w:p>
        </w:tc>
        <w:tc>
          <w:tcPr>
            <w:tcW w:w="1108"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53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8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270"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2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681"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c>
          <w:tcPr>
            <w:tcW w:w="59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Identify, and describe in a comprehensive manner, the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risks</w:t>
            </w:r>
            <w:r w:rsidRPr="00A860FB">
              <w:rPr>
                <w:rFonts w:ascii="Lato" w:hAnsi="Lato"/>
                <w:szCs w:val="22"/>
              </w:rPr>
              <w:t xml:space="preserve"> </w:t>
            </w:r>
            <w:r w:rsidRPr="008C6087">
              <w:rPr>
                <w:rFonts w:ascii="Lato" w:hAnsi="Lato"/>
                <w:szCs w:val="22"/>
              </w:rPr>
              <w:t xml:space="preserve">applicable to investing in that particular Retail Investor AIF.  </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Sub-Investment Grade Bond Retail Investor AIF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default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tabs>
                <w:tab w:val="left" w:pos="998"/>
              </w:tabs>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liquidity risks</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Emerging Markets Scheme should include</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 political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 settlement</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(iii) liquidity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(iv) currency</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 accounting standards and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          (vi) custodial risk</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If there is custodial/registration risk, this must also be</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disclosed along with the relevant markets</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in Russia</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Disclose the particular risk factors associated with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Russian</w:t>
            </w:r>
            <w:r w:rsidRPr="00A860FB">
              <w:rPr>
                <w:rFonts w:ascii="Lato" w:hAnsi="Lato"/>
                <w:szCs w:val="22"/>
              </w:rPr>
              <w:t xml:space="preserve"> </w:t>
            </w:r>
            <w:r w:rsidRPr="008C6087">
              <w:rPr>
                <w:rFonts w:ascii="Lato" w:hAnsi="Lato"/>
                <w:szCs w:val="22"/>
              </w:rPr>
              <w:t>investment, in particular corporate governance and investor protection issues</w:t>
            </w:r>
            <w:r w:rsidRPr="008C6087">
              <w:rPr>
                <w:rFonts w:ascii="Lato" w:hAnsi="Lato"/>
                <w:szCs w:val="22"/>
              </w:rPr>
              <w:tab/>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rPr>
              <w:t>Investment in Split Capital Investment Trusts</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rPr>
              <w:t xml:space="preserve">Disclose specific risks of these types of investments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rPr>
              <w:t>(i.e.</w:t>
            </w:r>
            <w:r>
              <w:rPr>
                <w:rFonts w:ascii="Lato" w:hAnsi="Lato"/>
              </w:rPr>
              <w:t xml:space="preserve"> </w:t>
            </w:r>
            <w:r w:rsidRPr="008C6087">
              <w:rPr>
                <w:rFonts w:ascii="Lato" w:hAnsi="Lato"/>
              </w:rPr>
              <w:t>characteristics of different share classes, gearing levels, etc.)</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27FD4">
              <w:rPr>
                <w:rFonts w:ascii="Lato" w:hAnsi="Lato"/>
                <w:u w:val="single"/>
              </w:rPr>
              <w:t>Sustainable Finance Risk</w:t>
            </w: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Disclose the following:</w:t>
            </w:r>
          </w:p>
        </w:tc>
        <w:tc>
          <w:tcPr>
            <w:tcW w:w="1102" w:type="dxa"/>
            <w:gridSpan w:val="3"/>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 xml:space="preserve">(a) the manner in which sustainability risks are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integrated into investment decisions; and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AE6E51">
              <w:rPr>
                <w:rFonts w:ascii="Lato" w:hAnsi="Lato"/>
              </w:rPr>
              <w:t>(b)</w:t>
            </w:r>
            <w:r>
              <w:rPr>
                <w:rFonts w:ascii="Lato" w:hAnsi="Lato"/>
              </w:rPr>
              <w:t xml:space="preserve"> </w:t>
            </w:r>
            <w:r w:rsidRPr="00AE6E51">
              <w:rPr>
                <w:rFonts w:ascii="Lato" w:hAnsi="Lato"/>
              </w:rPr>
              <w:t xml:space="preserve">the results of the assessment of the likely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AE6E51">
              <w:rPr>
                <w:rFonts w:ascii="Lato" w:hAnsi="Lato"/>
              </w:rPr>
              <w:t xml:space="preserve">impacts of sustainability risks on the returns of the </w:t>
            </w:r>
            <w:r>
              <w:rPr>
                <w:rFonts w:ascii="Lato" w:hAnsi="Lato"/>
              </w:rPr>
              <w:t>fund</w:t>
            </w:r>
          </w:p>
        </w:tc>
        <w:tc>
          <w:tcPr>
            <w:tcW w:w="1102" w:type="dxa"/>
            <w:gridSpan w:val="3"/>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0C66F8">
              <w:rPr>
                <w:rFonts w:ascii="Lato" w:hAnsi="Lato"/>
              </w:rPr>
              <w:t xml:space="preserve">Where </w:t>
            </w:r>
            <w:r>
              <w:rPr>
                <w:rFonts w:ascii="Lato" w:hAnsi="Lato"/>
              </w:rPr>
              <w:t>the responsible person</w:t>
            </w:r>
            <w:r w:rsidRPr="000C66F8">
              <w:rPr>
                <w:rFonts w:ascii="Lato" w:hAnsi="Lato"/>
              </w:rPr>
              <w:t xml:space="preserve"> deem</w:t>
            </w:r>
            <w:r>
              <w:rPr>
                <w:rFonts w:ascii="Lato" w:hAnsi="Lato"/>
              </w:rPr>
              <w:t>s</w:t>
            </w:r>
            <w:r w:rsidRPr="000C66F8">
              <w:rPr>
                <w:rFonts w:ascii="Lato" w:hAnsi="Lato"/>
              </w:rPr>
              <w:t xml:space="preserve"> </w:t>
            </w:r>
          </w:p>
        </w:tc>
        <w:tc>
          <w:tcPr>
            <w:tcW w:w="1102" w:type="dxa"/>
            <w:gridSpan w:val="3"/>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44"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287" w:type="dxa"/>
            <w:gridSpan w:val="6"/>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625" w:type="dxa"/>
            <w:gridSpan w:val="5"/>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0C66F8">
              <w:rPr>
                <w:rFonts w:ascii="Lato" w:hAnsi="Lato"/>
              </w:rPr>
              <w:t xml:space="preserve">sustainability risks not to be relevant, the descriptions referred to in the </w:t>
            </w:r>
            <w:r>
              <w:rPr>
                <w:rFonts w:ascii="Lato" w:hAnsi="Lato"/>
              </w:rPr>
              <w:t>(f)(i)</w:t>
            </w:r>
            <w:r w:rsidRPr="000C66F8">
              <w:rPr>
                <w:rFonts w:ascii="Lato" w:hAnsi="Lato"/>
              </w:rPr>
              <w:t xml:space="preserve"> shall include a clear and concise expl</w:t>
            </w:r>
            <w:r>
              <w:rPr>
                <w:rFonts w:ascii="Lato" w:hAnsi="Lato"/>
              </w:rPr>
              <w:t>anation of the reasons therefor</w:t>
            </w:r>
          </w:p>
        </w:tc>
        <w:tc>
          <w:tcPr>
            <w:tcW w:w="1102" w:type="dxa"/>
            <w:gridSpan w:val="3"/>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102"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4"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1293" w:type="dxa"/>
            <w:gridSpan w:val="4"/>
            <w:tcBorders>
              <w:top w:val="nil"/>
              <w:left w:val="nil"/>
              <w:bottom w:val="nil"/>
              <w:right w:val="nil"/>
            </w:tcBorders>
          </w:tcPr>
          <w:p w:rsidR="006B3EE9" w:rsidRPr="008C6087" w:rsidRDefault="006B3EE9" w:rsidP="006B3EE9">
            <w:pPr>
              <w:spacing w:line="240" w:lineRule="auto"/>
              <w:rPr>
                <w:rFonts w:ascii="Lato" w:hAnsi="Lato"/>
                <w:szCs w:val="22"/>
              </w:rPr>
            </w:pPr>
          </w:p>
        </w:tc>
        <w:tc>
          <w:tcPr>
            <w:tcW w:w="287"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402"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5" w:type="dxa"/>
            <w:gridSpan w:val="5"/>
            <w:tcBorders>
              <w:top w:val="nil"/>
              <w:left w:val="nil"/>
              <w:bottom w:val="nil"/>
              <w:right w:val="nil"/>
            </w:tcBorders>
          </w:tcPr>
          <w:p w:rsidR="006B3EE9" w:rsidRPr="008C6087" w:rsidRDefault="006B3EE9" w:rsidP="006B3EE9">
            <w:pPr>
              <w:spacing w:line="240" w:lineRule="auto"/>
              <w:rPr>
                <w:rFonts w:ascii="Lato" w:hAnsi="Lato"/>
                <w:szCs w:val="22"/>
              </w:rPr>
            </w:pPr>
          </w:p>
        </w:tc>
        <w:tc>
          <w:tcPr>
            <w:tcW w:w="623"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2.2.13</w:t>
            </w: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bCs/>
                <w:color w:val="auto"/>
                <w:sz w:val="22"/>
                <w:szCs w:val="22"/>
                <w:u w:val="single"/>
              </w:rPr>
              <w:t xml:space="preserve">Changes in investment objective and/or material changes to the investment policy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Provide that:</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Changes to the investment objective and/or material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changes to the investment policies of the Retail Investor AIF may not be effected without the prior written approval of all unitholders/shareholders or on the basis of a majority of votes cast at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 the event of a change of investment objective and/or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investment policy on the basis of a majority of votes cast at general meeting the Retail Investor AIF shall provide a reasonable notification period to enable unitholders/shareholders redeem their units/shares prior to implementation of these changes.</w:t>
            </w:r>
          </w:p>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 xml:space="preserve">Changes in maximum annual management company/investment manager (where paid out of the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u w:val="single"/>
              </w:rPr>
            </w:pPr>
            <w:r w:rsidRPr="00366D5D">
              <w:rPr>
                <w:rFonts w:ascii="Lato" w:hAnsi="Lato"/>
                <w:szCs w:val="22"/>
                <w:u w:val="single"/>
              </w:rPr>
              <w:t>assets</w:t>
            </w:r>
            <w:r w:rsidRPr="00A860FB">
              <w:rPr>
                <w:rFonts w:ascii="Lato" w:hAnsi="Lato"/>
                <w:szCs w:val="22"/>
                <w:u w:val="single"/>
              </w:rPr>
              <w:t xml:space="preserve"> </w:t>
            </w:r>
            <w:r w:rsidRPr="008C6087">
              <w:rPr>
                <w:rFonts w:ascii="Lato" w:hAnsi="Lato"/>
                <w:szCs w:val="22"/>
                <w:u w:val="single"/>
              </w:rPr>
              <w:t xml:space="preserve">of the Retail Investor AIF) for Open-Ended Retail Investor AIFs </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this fee may not be increased without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approval</w:t>
            </w:r>
            <w:r w:rsidRPr="00A860FB">
              <w:rPr>
                <w:rFonts w:ascii="Lato" w:hAnsi="Lato"/>
                <w:szCs w:val="22"/>
              </w:rPr>
              <w:t xml:space="preserve"> </w:t>
            </w:r>
            <w:r w:rsidRPr="008C6087">
              <w:rPr>
                <w:rFonts w:ascii="Lato" w:hAnsi="Lato"/>
                <w:szCs w:val="22"/>
              </w:rPr>
              <w:t>on the basis of a majority of votes cast at a general meeting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the annual fee includes any performance related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fee</w:t>
            </w:r>
            <w:r w:rsidRPr="00A860FB">
              <w:rPr>
                <w:rFonts w:ascii="Lato" w:hAnsi="Lato"/>
                <w:szCs w:val="22"/>
              </w:rPr>
              <w:t xml:space="preserve"> </w:t>
            </w:r>
            <w:r w:rsidRPr="008C6087">
              <w:rPr>
                <w:rFonts w:ascii="Lato" w:hAnsi="Lato"/>
                <w:szCs w:val="22"/>
              </w:rPr>
              <w:t>charged by the AIFM Management company or the investment manager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Note: if the fee disclosed in the prospectus is less than the maximum fee permitted in the constitutional document, unitholder approval will also be required for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an increase</w:t>
            </w:r>
            <w:r w:rsidRPr="00A860FB">
              <w:rPr>
                <w:rFonts w:ascii="Lato" w:hAnsi="Lato"/>
                <w:szCs w:val="22"/>
              </w:rPr>
              <w:t xml:space="preserve"> </w:t>
            </w:r>
            <w:r w:rsidRPr="008C6087">
              <w:rPr>
                <w:rFonts w:ascii="Lato" w:hAnsi="Lato"/>
                <w:szCs w:val="22"/>
              </w:rPr>
              <w:t>in the fee disclosed in the prospectus unless the prospectus also provides that a higher fee may be charged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b/>
                <w:szCs w:val="22"/>
              </w:rPr>
            </w:pPr>
            <w:r w:rsidRPr="008C6087">
              <w:rPr>
                <w:rFonts w:ascii="Lato" w:hAnsi="Lato"/>
                <w:szCs w:val="22"/>
              </w:rPr>
              <w:t xml:space="preserve">Provide that in the event of the increase of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maximum</w:t>
            </w:r>
            <w:r w:rsidRPr="00A860FB">
              <w:rPr>
                <w:rFonts w:ascii="Lato" w:hAnsi="Lato"/>
                <w:szCs w:val="22"/>
              </w:rPr>
              <w:t xml:space="preserve"> </w:t>
            </w:r>
            <w:r w:rsidRPr="008C6087">
              <w:rPr>
                <w:rFonts w:ascii="Lato" w:hAnsi="Lato"/>
                <w:szCs w:val="22"/>
              </w:rPr>
              <w:t xml:space="preserve">annual fee a reasonable notification period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sidRPr="00366D5D">
              <w:rPr>
                <w:rFonts w:ascii="Lato" w:hAnsi="Lato"/>
                <w:szCs w:val="22"/>
              </w:rPr>
              <w:t xml:space="preserve">shall be </w:t>
            </w:r>
            <w:r w:rsidRPr="008C6087">
              <w:rPr>
                <w:rFonts w:ascii="Lato" w:hAnsi="Lato"/>
                <w:szCs w:val="22"/>
              </w:rPr>
              <w:t xml:space="preserve">provided by the Retail Investor AIF to enable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r>
              <w:rPr>
                <w:rFonts w:ascii="Lato" w:hAnsi="Lato"/>
                <w:szCs w:val="22"/>
              </w:rPr>
              <w:t>u</w:t>
            </w:r>
            <w:r w:rsidRPr="00366D5D">
              <w:rPr>
                <w:rFonts w:ascii="Lato" w:hAnsi="Lato"/>
                <w:szCs w:val="22"/>
              </w:rPr>
              <w:t>nitholders</w:t>
            </w:r>
            <w:r w:rsidRPr="00A860FB">
              <w:rPr>
                <w:rFonts w:ascii="Lato" w:hAnsi="Lato"/>
                <w:szCs w:val="22"/>
              </w:rPr>
              <w:t xml:space="preserve"> </w:t>
            </w:r>
            <w:r w:rsidRPr="008C6087">
              <w:rPr>
                <w:rFonts w:ascii="Lato" w:hAnsi="Lato"/>
                <w:szCs w:val="22"/>
              </w:rPr>
              <w:t>redeem their unit prior to the implementation of the increase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b/>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u w:val="single"/>
              </w:rPr>
            </w:pPr>
            <w:r w:rsidRPr="008C6087">
              <w:rPr>
                <w:rFonts w:ascii="Lato" w:hAnsi="Lato"/>
                <w:szCs w:val="22"/>
                <w:u w:val="single"/>
              </w:rPr>
              <w:t>Closed-Ended Retail Investor AIFs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u w:val="single"/>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u w:val="single"/>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the investment objective or 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pStyle w:val="Default"/>
              <w:rPr>
                <w:rFonts w:ascii="Lato" w:hAnsi="Lato"/>
                <w:sz w:val="22"/>
                <w:szCs w:val="22"/>
              </w:rPr>
            </w:pPr>
            <w:r w:rsidRPr="008C6087">
              <w:rPr>
                <w:rFonts w:ascii="Lato" w:hAnsi="Lato"/>
                <w:sz w:val="22"/>
                <w:szCs w:val="22"/>
              </w:rPr>
              <w:t xml:space="preserve">No realistic liquidity provisions: Where there </w:t>
            </w:r>
            <w:r w:rsidRPr="008C6087">
              <w:rPr>
                <w:rFonts w:ascii="Lato" w:hAnsi="Lato"/>
                <w:szCs w:val="22"/>
              </w:rPr>
              <w:t>is a</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objectives and/or material change of investment policies with no opportunity for unitholders to redeem or otherwise exit the closed ended Retail Investor AIF, the Retail Investor AIF shall ensure that votes in favour of the change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change of investment objective and/or material change of investment policies with an opportunity for unitholders to redeem or otherwise exit the closed ended Retail Investor AIF, the Retail Investor AIF shall ensure that votes in favour of the change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Non-material changes to the investment policy of a Retail Investor AIF</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Where the closed ended Retail Investor AIF makes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szCs w:val="22"/>
              </w:rPr>
              <w:t>non-</w:t>
            </w:r>
            <w:r w:rsidRPr="008C6087">
              <w:rPr>
                <w:rFonts w:ascii="Lato" w:hAnsi="Lato"/>
                <w:szCs w:val="22"/>
              </w:rPr>
              <w:t>material changes to investment policies, it shall notify unitholders of these changes. Notification can be provided by means of appropriate disclosure in the next periodic report.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i/>
                <w:szCs w:val="22"/>
              </w:rPr>
            </w:pPr>
            <w:r w:rsidRPr="008C6087">
              <w:rPr>
                <w:rFonts w:ascii="Lato" w:hAnsi="Lato"/>
                <w:i/>
                <w:szCs w:val="22"/>
              </w:rPr>
              <w:t>Changes to Fees or Charges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Where a closed-ended Retail Investor AIF proposes to amend the maximum redemption charge as disclosed in the constitutional document or the maximum annual fee charged by the management company as disclosed in the constitutional documents</w:t>
            </w:r>
            <w:r w:rsidRPr="008C6087">
              <w:rPr>
                <w:rStyle w:val="FootnoteReference"/>
                <w:rFonts w:ascii="Lato" w:hAnsi="Lato"/>
                <w:szCs w:val="22"/>
              </w:rPr>
              <w:footnoteReference w:id="1"/>
            </w:r>
            <w:r w:rsidRPr="008C6087">
              <w:rPr>
                <w:rFonts w:ascii="Lato" w:hAnsi="Lato"/>
                <w:szCs w:val="22"/>
              </w:rPr>
              <w:t>, the following approach must be adopted: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No realistic liquidity provisions: Where there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is a proposed increase in these fee or charges with no opportunity for unitholders to redeem or otherwise exit the Retail Investor AIF, it shall ensure that votes in favour of the increase must represent at least 75%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szCs w:val="22"/>
              </w:rPr>
              <w:t xml:space="preserve">Realistic liquidity provisions: Where there is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szCs w:val="22"/>
              </w:rPr>
              <w:t>proposed increase in these fees or charges with an opportunity for unitholders to redeem or otherwise exit the Retail Investor AIF, it shall ensure that votes in favour of the increase must represent at least 50% of votes cast.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2.2.14</w:t>
            </w: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u w:val="single"/>
              </w:rPr>
              <w:t>Securities Financing Transactions (“SFTs”) as defined in Regulation (EU) 2015/2365</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general description of the SFTs and total</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return swaps used by the collective investment undertaking and the rationale for their 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overall data for each type of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 and total return swap including: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Types of assets that can be subject to them</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Maximum proportion of AUM that can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C21C70">
              <w:rPr>
                <w:rFonts w:ascii="Lato" w:hAnsi="Lato"/>
              </w:rPr>
              <w:t>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C21C70" w:rsidRDefault="006B3EE9" w:rsidP="006B3EE9">
            <w:pPr>
              <w:spacing w:line="240" w:lineRule="auto"/>
              <w:jc w:val="both"/>
              <w:rPr>
                <w:rFonts w:ascii="Lato" w:hAnsi="Lato"/>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(iii)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Expected proportion of AUM that will be subject to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each</w:t>
            </w:r>
            <w:r w:rsidRPr="00A860FB">
              <w:rPr>
                <w:rFonts w:ascii="Lato" w:hAnsi="Lato"/>
              </w:rPr>
              <w:t xml:space="preserve"> </w:t>
            </w:r>
            <w:r w:rsidRPr="008C6087">
              <w:rPr>
                <w:rFonts w:ascii="Lato" w:hAnsi="Lato"/>
              </w:rPr>
              <w:t>of them</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criteria used to select counterparties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(including legal status, country of origin, minimum credit rating)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acceptable collateral with</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regard to asset types, issuer, maturity, liquidity as well as the collateral diversification and correlation policies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collateral valuation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methodology used and its rationale, and whether daily mark-to-market and daily variation margins are used.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Provide a description of the risks linked to SFTs and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total return swaps as well as risks linked to collateral management, such as operational, liquidity, counterparty, custody and legal risks and, where applicable, the risks arising from its reuse.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how assets subject to SFTs and total return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366D5D">
              <w:rPr>
                <w:rFonts w:ascii="Lato" w:hAnsi="Lato"/>
              </w:rPr>
              <w:t>swaps</w:t>
            </w:r>
            <w:r w:rsidRPr="00A860FB">
              <w:rPr>
                <w:rFonts w:ascii="Lato" w:hAnsi="Lato"/>
              </w:rPr>
              <w:t xml:space="preserve"> </w:t>
            </w:r>
            <w:r w:rsidRPr="008C6087">
              <w:rPr>
                <w:rFonts w:ascii="Lato" w:hAnsi="Lato"/>
              </w:rPr>
              <w:t>and collateral received are safe-kept (e.g. with fund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(h)</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 xml:space="preserve">Specify any restrictions (regulatory or self-imposed) 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reuse of collateral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w:t>
            </w:r>
          </w:p>
        </w:tc>
        <w:tc>
          <w:tcPr>
            <w:tcW w:w="5479" w:type="dxa"/>
            <w:tcBorders>
              <w:top w:val="nil"/>
              <w:left w:val="nil"/>
              <w:bottom w:val="nil"/>
              <w:right w:val="single" w:sz="4" w:space="0" w:color="auto"/>
            </w:tcBorders>
          </w:tcPr>
          <w:p w:rsidR="006B3EE9" w:rsidRPr="008C6087" w:rsidRDefault="006B3EE9" w:rsidP="006B3EE9">
            <w:pPr>
              <w:spacing w:line="240" w:lineRule="auto"/>
              <w:jc w:val="both"/>
              <w:rPr>
                <w:rFonts w:ascii="Lato" w:hAnsi="Lato"/>
                <w:szCs w:val="22"/>
              </w:rPr>
            </w:pPr>
            <w:r w:rsidRPr="008C6087">
              <w:rPr>
                <w:rFonts w:ascii="Lato" w:hAnsi="Lato"/>
              </w:rPr>
              <w:t>Disclose the policy on sharing of return generated by</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jc w:val="both"/>
              <w:rPr>
                <w:rFonts w:ascii="Lato" w:hAnsi="Lato"/>
                <w:szCs w:val="22"/>
              </w:rPr>
            </w:pPr>
            <w:r w:rsidRPr="008C6087">
              <w:rPr>
                <w:rFonts w:ascii="Lato" w:hAnsi="Lato"/>
              </w:rPr>
              <w:t>SFTs and total return swaps: description of the proportions of the revenue generated by SFTs and total return swaps that is returned to the collective investment undertaking, and of the costs and fees assigned to the manager or third parties (e.g. the agent lender). Indicate if these are related parties to the manager.</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2.2.15</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u w:val="single"/>
              </w:rPr>
              <w:t>Sustainable Finance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(a)</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environmental or social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characteristics, or a combination of those characteristics are met</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if an index has been designated as a reference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benchmark, information on whether and how this index is consistent with those characteristics</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(b)</w:t>
            </w: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Where a fund has sustainable investment as its objective and an index has been designated as a reference benchmark, include:</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information on how the designated index is aligned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with the objective</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(ii)</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an explanation as to why and how the designated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index aligned with that objective differs from a broad market index</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(c)</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sustainable investment as its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objective and no index has been designated as a reference benchmark, include an explanation on how that objective is to be attained.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(d)</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Where a fund has a reduction in carbon emissions as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its objective, include the objective of low carbon emission exposure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(e)</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Include a detailed explanation of how the continued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effort of attaining the objective of reducing carbon emissions is ensured in view of achieving the long</w:t>
            </w:r>
            <w:r w:rsidRPr="00616DD7">
              <w:rPr>
                <w:rFonts w:ascii="Cambria Math" w:hAnsi="Cambria Math" w:cs="Cambria Math"/>
                <w:color w:val="000000"/>
                <w:sz w:val="22"/>
                <w:szCs w:val="22"/>
              </w:rPr>
              <w:t>‐</w:t>
            </w:r>
            <w:r w:rsidRPr="00616DD7">
              <w:rPr>
                <w:rFonts w:ascii="Lato" w:hAnsi="Lato"/>
                <w:color w:val="000000"/>
                <w:sz w:val="22"/>
                <w:szCs w:val="22"/>
              </w:rPr>
              <w:t>term global warming objectives of the Paris Agreement where the index requirements of (b) above is not available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Pr>
                <w:rFonts w:ascii="Lato" w:hAnsi="Lato"/>
              </w:rPr>
              <w:t>(f)</w:t>
            </w:r>
          </w:p>
        </w:tc>
        <w:tc>
          <w:tcPr>
            <w:tcW w:w="5479" w:type="dxa"/>
            <w:tcBorders>
              <w:top w:val="nil"/>
              <w:left w:val="nil"/>
              <w:bottom w:val="nil"/>
              <w:right w:val="single" w:sz="4" w:space="0" w:color="auto"/>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 xml:space="preserve">Indicate where the methodology used for the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r w:rsidRPr="00616DD7">
              <w:rPr>
                <w:rFonts w:ascii="Lato" w:hAnsi="Lato"/>
                <w:color w:val="000000"/>
                <w:sz w:val="22"/>
                <w:szCs w:val="22"/>
              </w:rPr>
              <w:t>calculation of the index can be found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405CAD">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pStyle w:val="Heading1"/>
              <w:spacing w:before="0" w:after="0" w:line="240" w:lineRule="auto"/>
              <w:rPr>
                <w:rFonts w:ascii="Lato" w:hAnsi="Lato"/>
                <w:color w:val="auto"/>
                <w:sz w:val="22"/>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2.3</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Investment Restrictions </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Provide that the Retail Investor AIF may derogate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Pr="008C6087">
              <w:rPr>
                <w:rFonts w:ascii="Lato" w:hAnsi="Lato"/>
                <w:szCs w:val="22"/>
              </w:rPr>
              <w:t>the investment restrictions contained in this Section 2.3 for six months following the date of their launch provided they observe the principle of risk spreading.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2.3.2</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The limits on investments contained in this Section 2.3</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are deemed to apply at the time of purchase of the investments and continue to apply thereafter. If the limits laid down in this Section are subsequently exceeded for reasons beyond the control of a Retail Investor AIF or as a result of the exercise of subscription rights, the Retail Investor AIF must adopt as a priority objective the remedying of that situation, taking due account of the interests of its unitholders.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2.3.3</w:t>
            </w:r>
          </w:p>
        </w:tc>
        <w:tc>
          <w:tcPr>
            <w:tcW w:w="5479" w:type="dxa"/>
            <w:tcBorders>
              <w:top w:val="nil"/>
              <w:left w:val="nil"/>
              <w:bottom w:val="nil"/>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 xml:space="preserve">The Retail Investor AIF shall not, nor shall it appoint a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r w:rsidRPr="008C6087">
              <w:rPr>
                <w:rFonts w:ascii="Lato" w:hAnsi="Lato"/>
                <w:szCs w:val="22"/>
              </w:rPr>
              <w:t>management company or general partner or AIFM which would , acquire any shares carrying voting rights which would enable it to exercise significant influence over the management of an issuing body.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e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Securities</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invest more than 20%</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its net assets in securities which are not traded in or dealt on a regulated market which operates regularly and is recognised and open to the public</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7 of Chapter 1, Part I, Section 1 (ii) of the AIF Rulebook, the Retail Investor AIF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shall not invest  more than 20% of its net assets in securities issued by the same institution.</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AIFs investment policy is to</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replicate an index, this limit is increased to 35% in the case of a single issuer where this is justified by exceptional market circumstances.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2.3.6</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 of Chapter 1, Part I, Section 1 (i)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of the AIF Rulebook, the Retail Investor AIF</w:t>
            </w:r>
            <w:r w:rsidRPr="008C6087">
              <w:rPr>
                <w:rFonts w:ascii="Lato" w:hAnsi="Lato"/>
                <w:szCs w:val="22"/>
              </w:rPr>
              <w:t xml:space="preserve"> shall not hold more than 20% of any class of security issued by any single issuer. This requirement does not apply to investments in other open-ended investment funds.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2.3.7</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may only invest up to 100% of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its</w:t>
            </w:r>
            <w:r w:rsidRPr="00A860FB">
              <w:rPr>
                <w:rFonts w:ascii="Lato" w:hAnsi="Lato"/>
                <w:szCs w:val="22"/>
              </w:rPr>
              <w:t xml:space="preserve"> </w:t>
            </w:r>
            <w:r w:rsidRPr="008C6087">
              <w:rPr>
                <w:rFonts w:ascii="Lato" w:hAnsi="Lato"/>
                <w:szCs w:val="22"/>
              </w:rPr>
              <w:t xml:space="preserve">net assets in transferable securities issued or guaranteed by any state, its constituent states, its local authorities, or public international bodies of which one or more states are members with the prior approval of the Central Bank.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Full disclosure must be made indicating the states,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local</w:t>
            </w:r>
            <w:r w:rsidRPr="00A860FB">
              <w:rPr>
                <w:rFonts w:ascii="Lato" w:hAnsi="Lato"/>
                <w:szCs w:val="22"/>
              </w:rPr>
              <w:t xml:space="preserve"> </w:t>
            </w:r>
            <w:r w:rsidRPr="008C6087">
              <w:rPr>
                <w:rFonts w:ascii="Lato" w:hAnsi="Lato"/>
                <w:szCs w:val="22"/>
              </w:rPr>
              <w:t>authorities and public international bodies in the securities of which it is intended to invest more than 20% of the assets in accordance with the provision of the preceding sentence ; the issuers may be drawn from the following list:</w:t>
            </w:r>
          </w:p>
          <w:p w:rsidR="006B3EE9" w:rsidRPr="008C6087" w:rsidRDefault="006B3EE9" w:rsidP="006B3EE9">
            <w:pPr>
              <w:spacing w:line="240" w:lineRule="auto"/>
              <w:rPr>
                <w:rFonts w:ascii="Lato" w:hAnsi="Lato"/>
                <w:szCs w:val="22"/>
              </w:rPr>
            </w:pPr>
            <w:r w:rsidRPr="008C6087">
              <w:rPr>
                <w:rFonts w:ascii="Lato" w:hAnsi="Lato"/>
                <w:szCs w:val="22"/>
              </w:rPr>
              <w:t xml:space="preserve">OECD Governments (provided the relevant issues are investment grade), Government of Brazil (provided the issues are of investment grade), Government of India (provided the issues are of investment grade),Government of Singapore, European Investment Bank, European Bank for Reconstruction and Development, International Finance Corporation, International Monetary Fund, Euratom, The Asian Development Bank, European Central Bank, Council of Europe, Eurofima, The European Coal &amp; Steel Community,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Bank, Tennessee Valley Authority, Straight-A Funding LLC. </w:t>
            </w:r>
          </w:p>
          <w:p w:rsidR="006B3EE9" w:rsidRPr="008C6087" w:rsidRDefault="006B3EE9" w:rsidP="006B3EE9">
            <w:pPr>
              <w:spacing w:line="240" w:lineRule="auto"/>
              <w:rPr>
                <w:rFonts w:ascii="Lato" w:hAnsi="Lato"/>
                <w:szCs w:val="22"/>
              </w:rPr>
            </w:pPr>
          </w:p>
          <w:p w:rsidR="006B3EE9" w:rsidRPr="008C6087" w:rsidRDefault="006B3EE9" w:rsidP="006B3EE9">
            <w:pPr>
              <w:spacing w:line="240" w:lineRule="auto"/>
              <w:rPr>
                <w:rFonts w:ascii="Lato" w:hAnsi="Lato"/>
                <w:szCs w:val="22"/>
              </w:rPr>
            </w:pPr>
            <w:r w:rsidRPr="008C6087">
              <w:rPr>
                <w:rFonts w:ascii="Lato" w:hAnsi="Lato"/>
                <w:szCs w:val="22"/>
              </w:rPr>
              <w:t>Export-Import Bank – may be permissible it should be given its full title and a submission attached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Cash</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2.3.8</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keep on deposit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than</w:t>
            </w:r>
            <w:r w:rsidRPr="00A860FB">
              <w:rPr>
                <w:rFonts w:ascii="Lato" w:hAnsi="Lato"/>
                <w:szCs w:val="22"/>
              </w:rPr>
              <w:t xml:space="preserve"> </w:t>
            </w:r>
            <w:r w:rsidRPr="008C6087">
              <w:rPr>
                <w:rFonts w:ascii="Lato" w:hAnsi="Lato"/>
                <w:szCs w:val="22"/>
              </w:rPr>
              <w:t>10% of its net assets with any one institution; this limit is increased to 30% of net assets for deposits with or securities evidencing deposits issued by or securities guaranteed by the following:</w:t>
            </w:r>
          </w:p>
          <w:p w:rsidR="006B3EE9" w:rsidRPr="008C6087" w:rsidRDefault="006B3EE9" w:rsidP="006B3EE9">
            <w:pPr>
              <w:spacing w:line="240" w:lineRule="auto"/>
              <w:rPr>
                <w:rFonts w:ascii="Lato" w:hAnsi="Lato"/>
                <w:szCs w:val="22"/>
              </w:rPr>
            </w:pPr>
            <w:r w:rsidRPr="008C6087">
              <w:rPr>
                <w:rFonts w:ascii="Lato" w:hAnsi="Lato"/>
                <w:szCs w:val="22"/>
              </w:rPr>
              <w:t>(a) a credit institution authorised in the European Economic Area (EEA) (European Union Member States, Norway, Iceland, Liechtenstein);</w:t>
            </w:r>
          </w:p>
          <w:p w:rsidR="006B3EE9" w:rsidRPr="008C6087" w:rsidRDefault="006B3EE9" w:rsidP="006B3EE9">
            <w:pPr>
              <w:spacing w:line="240" w:lineRule="auto"/>
              <w:rPr>
                <w:rFonts w:ascii="Lato" w:hAnsi="Lato"/>
                <w:szCs w:val="22"/>
              </w:rPr>
            </w:pPr>
            <w:r w:rsidRPr="008C6087">
              <w:rPr>
                <w:rFonts w:ascii="Lato" w:hAnsi="Lato"/>
                <w:szCs w:val="22"/>
              </w:rPr>
              <w:t>(b) a credit institution authorised within a signatory state, other than a Member State of the EEA, to the Basle Capital Convergence Agreement of July 1988 (Switzerland, Canada, Japan, United States);</w:t>
            </w:r>
          </w:p>
          <w:p w:rsidR="006B3EE9" w:rsidRPr="008C6087" w:rsidRDefault="006B3EE9" w:rsidP="006B3EE9">
            <w:pPr>
              <w:spacing w:line="240" w:lineRule="auto"/>
              <w:rPr>
                <w:rFonts w:ascii="Lato" w:hAnsi="Lato"/>
                <w:szCs w:val="22"/>
              </w:rPr>
            </w:pPr>
            <w:r w:rsidRPr="008C6087">
              <w:rPr>
                <w:rFonts w:ascii="Lato" w:hAnsi="Lato"/>
                <w:szCs w:val="22"/>
              </w:rPr>
              <w:t>(c) a credit institution authorised in Jersey, Guernsey, the Isle of Man, Australia or New Zealand;</w:t>
            </w:r>
          </w:p>
          <w:p w:rsidR="006B3EE9" w:rsidRPr="008C6087" w:rsidRDefault="006B3EE9" w:rsidP="006B3EE9">
            <w:pPr>
              <w:spacing w:line="240" w:lineRule="auto"/>
              <w:rPr>
                <w:rFonts w:ascii="Lato" w:hAnsi="Lato"/>
                <w:szCs w:val="22"/>
              </w:rPr>
            </w:pPr>
            <w:r w:rsidRPr="008C6087">
              <w:rPr>
                <w:rFonts w:ascii="Lato" w:hAnsi="Lato"/>
                <w:szCs w:val="22"/>
              </w:rPr>
              <w:t>(d) the depositary; or</w:t>
            </w:r>
          </w:p>
          <w:p w:rsidR="006B3EE9" w:rsidRPr="008C6087" w:rsidRDefault="006B3EE9" w:rsidP="006B3EE9">
            <w:pPr>
              <w:spacing w:line="240" w:lineRule="auto"/>
              <w:rPr>
                <w:rFonts w:ascii="Lato" w:hAnsi="Lato"/>
                <w:szCs w:val="22"/>
              </w:rPr>
            </w:pPr>
            <w:r w:rsidRPr="008C6087">
              <w:rPr>
                <w:rFonts w:ascii="Lato" w:hAnsi="Lato"/>
                <w:szCs w:val="22"/>
              </w:rPr>
              <w:t>(e) with the prior approval of the Central Bank, a credit institution which is an associated or related company of the depositary.</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Investment in other investment funds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2.3.9</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Subject to paragraph 12 of Chapter 1, Part I, Section 1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C21C70">
              <w:rPr>
                <w:rFonts w:ascii="Lato" w:hAnsi="Lato"/>
                <w:szCs w:val="22"/>
              </w:rPr>
              <w:t>(ii) of the AIF Rulebook , the Retail Investor AIF</w:t>
            </w:r>
            <w:r w:rsidRPr="008C6087">
              <w:rPr>
                <w:rFonts w:ascii="Lato" w:hAnsi="Lato"/>
                <w:szCs w:val="22"/>
              </w:rPr>
              <w:t xml:space="preserve"> shall not invest more than 30% of net assets in any one open-ended investment fund.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2.3.10</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not invest more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of net assets in unregulated open-ended investment funds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only invest in units of an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investment fund managed by its management company or AIFM or by an associated or related company of either of these, where the management company of the investment fund in which the investment is being made has waived the preliminary/initial/redemption charge which it would normally charge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Retail Investor AIF shall ensure that any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commission</w:t>
            </w:r>
            <w:r w:rsidRPr="00A860FB">
              <w:rPr>
                <w:rFonts w:ascii="Lato" w:hAnsi="Lato"/>
                <w:szCs w:val="22"/>
              </w:rPr>
              <w:t xml:space="preserve"> </w:t>
            </w:r>
            <w:r w:rsidRPr="008C6087">
              <w:rPr>
                <w:rFonts w:ascii="Lato" w:hAnsi="Lato"/>
                <w:szCs w:val="22"/>
              </w:rPr>
              <w:t>or other fee  received by the management company or AIFM must be paid into the property of the Retail Investor AIF</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i/>
                <w:szCs w:val="22"/>
              </w:rPr>
            </w:pPr>
            <w:r w:rsidRPr="008C6087">
              <w:rPr>
                <w:rFonts w:ascii="Lato" w:hAnsi="Lato"/>
                <w:i/>
                <w:szCs w:val="22"/>
              </w:rPr>
              <w:t>Financial Derivative Instruments</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not have a risk exposure to a counterparty in an OTC derivative transaction which exceeds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where the counterparty is a relevant institution,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 xml:space="preserve">10% of </w:t>
            </w:r>
            <w:r w:rsidRPr="008C6087">
              <w:rPr>
                <w:rFonts w:ascii="Lato" w:hAnsi="Lato"/>
                <w:szCs w:val="22"/>
              </w:rPr>
              <w:t>the Retail Investor AIF’s net assets; or</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in any other case, 5% of  the Retail Investor AIF’s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net</w:t>
            </w:r>
            <w:r w:rsidRPr="00A860FB">
              <w:rPr>
                <w:rFonts w:ascii="Lato" w:hAnsi="Lato"/>
                <w:szCs w:val="22"/>
              </w:rPr>
              <w:t xml:space="preserve"> </w:t>
            </w:r>
            <w:r w:rsidRPr="008C6087">
              <w:rPr>
                <w:rFonts w:ascii="Lato" w:hAnsi="Lato"/>
                <w:szCs w:val="22"/>
              </w:rPr>
              <w:t>assets.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State that the Retail Investor AIF shall ensure that its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global exposure relating to derivative instruments will not exceed the total net asset value of its portfolio.</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When a transferable security or money market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instrument</w:t>
            </w:r>
            <w:r w:rsidRPr="00A860FB">
              <w:rPr>
                <w:rFonts w:ascii="Lato" w:hAnsi="Lato"/>
                <w:szCs w:val="22"/>
              </w:rPr>
              <w:t xml:space="preserve"> </w:t>
            </w:r>
            <w:r w:rsidRPr="008C6087">
              <w:rPr>
                <w:rFonts w:ascii="Lato" w:hAnsi="Lato"/>
                <w:szCs w:val="22"/>
              </w:rPr>
              <w:t>contains an embedded derivative, the latter shall be taken into account when complying with the requirements of Section 2.3.14 above</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2.3.16</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in FDI dealt in over-the-counter, "OTC derivatives" confirm that: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the counterparty is a relevant institution or an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investment</w:t>
            </w:r>
            <w:r w:rsidRPr="00A860FB">
              <w:rPr>
                <w:rFonts w:ascii="Lato" w:hAnsi="Lato"/>
                <w:szCs w:val="22"/>
              </w:rPr>
              <w:t xml:space="preserve"> </w:t>
            </w:r>
            <w:r w:rsidRPr="008C6087">
              <w:rPr>
                <w:rFonts w:ascii="Lato" w:hAnsi="Lato"/>
                <w:szCs w:val="22"/>
              </w:rPr>
              <w:t>firm, authorised in accordance with MiFID in an EEA Member State, or is an entity subject to regulation as a Consolidated Supervised Entity (“CSE”) by the US Securities and Exchange Commission; or</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 the case of a counterparty which is not a relevant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institution, the counterparty has a minimum credit rating of A-2 or equivalent, or is deemed by the Retail Investor AIF to have an implied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r w:rsidRPr="008C6087">
              <w:rPr>
                <w:rFonts w:ascii="Lato" w:hAnsi="Lato"/>
                <w:szCs w:val="22"/>
              </w:rPr>
              <w:t>(iii)</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Alternatively, an unrated counterparty will be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acceptable</w:t>
            </w:r>
            <w:r w:rsidRPr="00A860FB">
              <w:rPr>
                <w:rFonts w:ascii="Lato" w:hAnsi="Lato"/>
                <w:szCs w:val="22"/>
              </w:rPr>
              <w:t xml:space="preserve"> </w:t>
            </w:r>
            <w:r w:rsidRPr="008C6087">
              <w:rPr>
                <w:rFonts w:ascii="Lato" w:hAnsi="Lato"/>
                <w:szCs w:val="22"/>
              </w:rPr>
              <w:t>where the Retail Investor AIF is indemnified or guaranteed against losses suffered as a result of a failure by the counterparty, by an entity which has and maintains a rating of A-2 or equivalent.</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2.4</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ing4"/>
              <w:rPr>
                <w:rFonts w:ascii="Lato" w:hAnsi="Lato"/>
                <w:b w:val="0"/>
                <w:bCs w:val="0"/>
                <w:sz w:val="22"/>
                <w:szCs w:val="22"/>
              </w:rPr>
            </w:pPr>
            <w:r w:rsidRPr="008C6087">
              <w:rPr>
                <w:rFonts w:ascii="Lato" w:hAnsi="Lato"/>
                <w:b w:val="0"/>
                <w:bCs w:val="0"/>
                <w:sz w:val="22"/>
                <w:szCs w:val="22"/>
              </w:rPr>
              <w:t>Borrowing Powers</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5479" w:type="dxa"/>
            <w:tcBorders>
              <w:top w:val="single" w:sz="4" w:space="0" w:color="auto"/>
              <w:left w:val="nil"/>
              <w:bottom w:val="nil"/>
              <w:right w:val="nil"/>
            </w:tcBorders>
          </w:tcPr>
          <w:p w:rsidR="006B3EE9" w:rsidRPr="008C6087" w:rsidRDefault="006B3EE9" w:rsidP="006B3EE9">
            <w:pPr>
              <w:spacing w:line="240" w:lineRule="auto"/>
              <w:rPr>
                <w:rFonts w:ascii="Lato" w:hAnsi="Lato"/>
                <w:i/>
                <w:i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i/>
                <w:iCs/>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i/>
                <w:iCs/>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i/>
                <w:iCs/>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2.4.1</w:t>
            </w:r>
          </w:p>
        </w:tc>
        <w:tc>
          <w:tcPr>
            <w:tcW w:w="5479" w:type="dxa"/>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bCs/>
                <w:szCs w:val="22"/>
              </w:rPr>
              <w:t>The Retail Investor AIF shall not borrow, or have at any given time borrowings, exceeding 25% of its net assets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00"/>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09" w:type="dxa"/>
            <w:tcBorders>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where assets of the fund are used to secure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borrowings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2.4.3</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shall not raise capital from the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public through the issue of debt securities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pStyle w:val="Header"/>
              <w:spacing w:line="240" w:lineRule="auto"/>
              <w:rPr>
                <w:rFonts w:ascii="Lato" w:hAnsi="Lato"/>
                <w:szCs w:val="22"/>
              </w:rPr>
            </w:pPr>
            <w:r w:rsidRPr="008C6087">
              <w:rPr>
                <w:rFonts w:ascii="Lato" w:hAnsi="Lato"/>
                <w:szCs w:val="22"/>
              </w:rPr>
              <w:t>2.5</w:t>
            </w:r>
          </w:p>
        </w:tc>
        <w:tc>
          <w:tcPr>
            <w:tcW w:w="547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Distribution/Dividend policy</w:t>
            </w:r>
          </w:p>
        </w:tc>
        <w:tc>
          <w:tcPr>
            <w:tcW w:w="1646" w:type="dxa"/>
            <w:gridSpan w:val="6"/>
            <w:tcBorders>
              <w:top w:val="nil"/>
              <w:left w:val="single" w:sz="4" w:space="0" w:color="auto"/>
              <w:bottom w:val="nil"/>
              <w:right w:val="nil"/>
            </w:tcBorders>
          </w:tcPr>
          <w:p w:rsidR="006B3EE9" w:rsidRPr="008C6087" w:rsidRDefault="006B3EE9" w:rsidP="006B3EE9">
            <w:pPr>
              <w:spacing w:line="240" w:lineRule="auto"/>
              <w:rPr>
                <w:rFonts w:ascii="Lato" w:hAnsi="Lato"/>
                <w:b/>
                <w:bCs/>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b/>
                <w:bCs/>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single" w:sz="4" w:space="0" w:color="auto"/>
              <w:left w:val="nil"/>
              <w:bottom w:val="nil"/>
              <w:right w:val="nil"/>
            </w:tcBorders>
          </w:tcPr>
          <w:p w:rsidR="006B3EE9" w:rsidRPr="008C6087" w:rsidRDefault="006B3EE9" w:rsidP="006B3EE9">
            <w:pPr>
              <w:pStyle w:val="Heading5"/>
              <w:rPr>
                <w:rFonts w:ascii="Lato" w:hAnsi="Lato"/>
                <w:szCs w:val="22"/>
                <w:u w:val="single"/>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2.5.1</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Disclose the distribution policy and indicate whether</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income will be reinvested or paid to shareholders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Del="00F2482E" w:rsidTr="00E35ECB">
        <w:trPr>
          <w:gridAfter w:val="1"/>
          <w:wAfter w:w="243" w:type="dxa"/>
        </w:trPr>
        <w:tc>
          <w:tcPr>
            <w:tcW w:w="1107"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r w:rsidRPr="008C6087">
              <w:rPr>
                <w:rFonts w:ascii="Lato" w:hAnsi="Lato"/>
                <w:szCs w:val="22"/>
              </w:rPr>
              <w:t>Disclose the:</w:t>
            </w:r>
          </w:p>
        </w:tc>
        <w:tc>
          <w:tcPr>
            <w:tcW w:w="1646" w:type="dxa"/>
            <w:gridSpan w:val="6"/>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Del="00F2482E"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Del="00F2482E"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2.52</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 date(s);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2.5.3</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Time limit, if any, after which entitlement to dividend</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lapses and the procedure in that event;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2.5.4</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Method of payment of dividends; and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2.5.5</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Insert a description of the rules for determining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and applying income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90"/>
        </w:trPr>
        <w:tc>
          <w:tcPr>
            <w:tcW w:w="1107"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2.5.6</w:t>
            </w:r>
          </w:p>
        </w:tc>
        <w:tc>
          <w:tcPr>
            <w:tcW w:w="5479" w:type="dxa"/>
            <w:vMerge w:val="restart"/>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are permitted subject to the following:</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47"/>
        </w:trPr>
        <w:tc>
          <w:tcPr>
            <w:tcW w:w="1107"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top w:val="nil"/>
              <w:left w:val="nil"/>
              <w:bottom w:val="nil"/>
              <w:right w:val="nil"/>
            </w:tcBorders>
          </w:tcPr>
          <w:p w:rsidR="006B3EE9" w:rsidRPr="008C6087" w:rsidRDefault="006B3EE9" w:rsidP="006B3EE9">
            <w:pPr>
              <w:spacing w:line="240" w:lineRule="auto"/>
              <w:rPr>
                <w:rFonts w:ascii="Lato" w:hAnsi="Lato"/>
                <w:b/>
                <w:szCs w:val="22"/>
              </w:rPr>
            </w:pP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a)</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Clearly outline the rationale behind the policy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b)</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Include a prominent risk warning, at the front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the prospectus, which describes the effects of making distributions from capital. This warning must include the following:</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capital will be eroded;</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That the distribution is achieved by forgoing the potential for future capital growth;</w:t>
            </w:r>
          </w:p>
          <w:p w:rsidR="006B3EE9" w:rsidRPr="008C6087" w:rsidRDefault="006B3EE9" w:rsidP="006B3EE9">
            <w:pPr>
              <w:numPr>
                <w:ilvl w:val="0"/>
                <w:numId w:val="8"/>
              </w:numPr>
              <w:spacing w:line="240" w:lineRule="auto"/>
              <w:rPr>
                <w:rFonts w:ascii="Lato" w:hAnsi="Lato"/>
                <w:szCs w:val="22"/>
              </w:rPr>
            </w:pPr>
            <w:r w:rsidRPr="008C6087">
              <w:rPr>
                <w:rFonts w:ascii="Lato" w:hAnsi="Lato"/>
                <w:szCs w:val="22"/>
              </w:rPr>
              <w:t>This cycle may continue until all capital is depleted</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Highlight that distributions out of capital may have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different tax implications to distributions of income and recommend that investors seek advice in this regard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The Retail Investor AIF which proposes to make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distributions out of capital and which invests greater than 20% in fixed income instruments must highlight the greater risk of capital erosion given the lack of potential for capital growth and the likelihood that, due to capital erosion, the value of future returns would also be diminished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e)</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Where the Retail Investor AIF invests more</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than 20% in fixed income instruments, and the priority of the Retail Investor AIF is the generation of income rather than capital growth this priority shall be specified.</w:t>
            </w:r>
          </w:p>
          <w:p w:rsidR="006B3EE9" w:rsidRPr="008C6087" w:rsidRDefault="006B3EE9" w:rsidP="006B3EE9">
            <w:pPr>
              <w:spacing w:line="240" w:lineRule="auto"/>
              <w:rPr>
                <w:rFonts w:ascii="Lato" w:hAnsi="Lato"/>
                <w:szCs w:val="22"/>
              </w:rPr>
            </w:pPr>
            <w:r w:rsidRPr="008C6087">
              <w:rPr>
                <w:rFonts w:ascii="Lato" w:hAnsi="Lato"/>
                <w:szCs w:val="22"/>
              </w:rPr>
              <w:t>In addition include a statement that distributions made during the life of the Retail Investor AIF</w:t>
            </w:r>
            <w:r w:rsidRPr="008C6087" w:rsidDel="006C49ED">
              <w:rPr>
                <w:rFonts w:ascii="Lato" w:hAnsi="Lato"/>
                <w:szCs w:val="22"/>
              </w:rPr>
              <w:t xml:space="preserve"> </w:t>
            </w:r>
            <w:r w:rsidRPr="008C6087">
              <w:rPr>
                <w:rFonts w:ascii="Lato" w:hAnsi="Lato"/>
                <w:szCs w:val="22"/>
              </w:rPr>
              <w:t>must be understood as a type of capital reimbursement.</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10"/>
        </w:trPr>
        <w:tc>
          <w:tcPr>
            <w:tcW w:w="1107"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w:t>
            </w:r>
          </w:p>
        </w:tc>
        <w:tc>
          <w:tcPr>
            <w:tcW w:w="5479" w:type="dxa"/>
            <w:vMerge w:val="restart"/>
            <w:tcBorders>
              <w:top w:val="nil"/>
              <w:left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Confirm that a similar risk warning to 2.6.6 b) above is contained in any subscription form or marketing material</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val="restart"/>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val="restart"/>
            <w:tcBorders>
              <w:top w:val="nil"/>
              <w:left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vMerge w:val="restart"/>
            <w:tcBorders>
              <w:top w:val="nil"/>
              <w:left w:val="single" w:sz="4" w:space="0" w:color="auto"/>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85"/>
        </w:trPr>
        <w:tc>
          <w:tcPr>
            <w:tcW w:w="1107"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5479" w:type="dxa"/>
            <w:vMerge/>
            <w:tcBorders>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vMerge/>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vMerge/>
            <w:tcBorders>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vMerge/>
            <w:tcBorders>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g)</w:t>
            </w: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Insert here relevant clause/article number in</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the constitutional document which permits distributions out of capital</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4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2.5.7</w:t>
            </w: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 xml:space="preserve">Where the Retail Investor AIF proposes to charge fees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366D5D">
              <w:rPr>
                <w:rFonts w:ascii="Lato" w:hAnsi="Lato"/>
                <w:szCs w:val="22"/>
              </w:rPr>
              <w:t>and</w:t>
            </w:r>
            <w:r w:rsidRPr="00A860FB">
              <w:rPr>
                <w:rFonts w:ascii="Lato" w:hAnsi="Lato"/>
                <w:szCs w:val="22"/>
              </w:rPr>
              <w:t xml:space="preserve"> </w:t>
            </w:r>
            <w:r w:rsidRPr="008C6087">
              <w:rPr>
                <w:rFonts w:ascii="Lato" w:hAnsi="Lato"/>
                <w:szCs w:val="22"/>
              </w:rPr>
              <w:t>expenses, including management fees, to capital, include the following:</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17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(a) indicate that fees and expenses, including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0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management fees, or a portion thereof, may be charged to capital;</w:t>
            </w:r>
          </w:p>
        </w:tc>
        <w:tc>
          <w:tcPr>
            <w:tcW w:w="1646" w:type="dxa"/>
            <w:gridSpan w:val="6"/>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23"/>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(b) a prominent risk warning in bold text at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56"/>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front of prospectus which states: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“Unitholders/Shareholders should note that all or part of fees and expenses, including (if applicable) management fees, will be charged to the capital of the Retail Investor AIF. This will have the effect of lowering the capital value of your investment”; and</w:t>
            </w: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277"/>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single" w:sz="4" w:space="0" w:color="auto"/>
            </w:tcBorders>
          </w:tcPr>
          <w:p w:rsidR="006B3EE9" w:rsidRPr="008C6087" w:rsidRDefault="006B3EE9" w:rsidP="006B3EE9">
            <w:pPr>
              <w:spacing w:line="240" w:lineRule="auto"/>
              <w:rPr>
                <w:rFonts w:ascii="Lato" w:hAnsi="Lato"/>
                <w:szCs w:val="22"/>
              </w:rPr>
            </w:pPr>
            <w:r w:rsidRPr="008C6087">
              <w:rPr>
                <w:rFonts w:ascii="Lato" w:hAnsi="Lato"/>
                <w:szCs w:val="22"/>
              </w:rPr>
              <w:t xml:space="preserve">(c) a description of the effects of the charging </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Height w:val="345"/>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of fees and expenses, including management fees, to capital i.e. that capital may be eroded.</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2.5.8</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bCs/>
                <w:color w:val="auto"/>
                <w:sz w:val="22"/>
                <w:szCs w:val="22"/>
                <w:u w:val="single"/>
              </w:rPr>
            </w:pPr>
            <w:r w:rsidRPr="008C6087">
              <w:rPr>
                <w:rFonts w:ascii="Lato" w:hAnsi="Lato"/>
                <w:b w:val="0"/>
                <w:color w:val="auto"/>
                <w:sz w:val="22"/>
                <w:szCs w:val="22"/>
                <w:u w:val="single"/>
              </w:rPr>
              <w:t>Accumulating Retail Investor AIF</w:t>
            </w:r>
            <w:r w:rsidRPr="008C6087" w:rsidDel="006C49ED">
              <w:rPr>
                <w:rFonts w:ascii="Lato" w:hAnsi="Lato"/>
                <w:b w:val="0"/>
                <w:color w:val="auto"/>
                <w:sz w:val="22"/>
                <w:szCs w:val="22"/>
                <w:u w:val="single"/>
              </w:rPr>
              <w:t xml:space="preserve"> </w:t>
            </w:r>
            <w:r w:rsidRPr="008C6087">
              <w:rPr>
                <w:rFonts w:ascii="Lato" w:hAnsi="Lato"/>
                <w:b w:val="0"/>
                <w:color w:val="auto"/>
                <w:sz w:val="22"/>
                <w:szCs w:val="22"/>
                <w:u w:val="single"/>
              </w:rPr>
              <w:t>/classes</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Indicate that it is not the current intention to pay dividends </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p>
        </w:tc>
        <w:tc>
          <w:tcPr>
            <w:tcW w:w="1646" w:type="dxa"/>
            <w:gridSpan w:val="6"/>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single" w:sz="4" w:space="0" w:color="auto"/>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r w:rsidRPr="008C6087">
              <w:rPr>
                <w:rFonts w:ascii="Lato" w:hAnsi="Lato"/>
                <w:szCs w:val="22"/>
              </w:rPr>
              <w:t>2.5.9</w:t>
            </w:r>
          </w:p>
        </w:tc>
        <w:tc>
          <w:tcPr>
            <w:tcW w:w="5479" w:type="dxa"/>
            <w:tcBorders>
              <w:top w:val="nil"/>
              <w:left w:val="nil"/>
              <w:bottom w:val="nil"/>
              <w:right w:val="single" w:sz="4" w:space="0" w:color="auto"/>
            </w:tcBorders>
          </w:tcPr>
          <w:p w:rsidR="006B3EE9" w:rsidRPr="008C6087" w:rsidRDefault="006B3EE9" w:rsidP="006B3EE9">
            <w:pPr>
              <w:pStyle w:val="Heading3"/>
              <w:spacing w:before="0" w:after="0" w:line="240" w:lineRule="auto"/>
              <w:rPr>
                <w:rFonts w:ascii="Lato" w:hAnsi="Lato"/>
                <w:b w:val="0"/>
                <w:color w:val="auto"/>
                <w:sz w:val="22"/>
                <w:szCs w:val="22"/>
                <w:u w:val="single"/>
              </w:rPr>
            </w:pPr>
            <w:r w:rsidRPr="008C6087">
              <w:rPr>
                <w:rFonts w:ascii="Lato" w:hAnsi="Lato"/>
                <w:b w:val="0"/>
                <w:color w:val="auto"/>
                <w:sz w:val="22"/>
                <w:szCs w:val="22"/>
                <w:u w:val="single"/>
              </w:rPr>
              <w:t>For Accumulating and Distributing Retail Investor AIF/</w:t>
            </w:r>
          </w:p>
        </w:tc>
        <w:tc>
          <w:tcPr>
            <w:tcW w:w="1646" w:type="dxa"/>
            <w:gridSpan w:val="6"/>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24" w:type="dxa"/>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507" w:type="dxa"/>
            <w:gridSpan w:val="3"/>
            <w:tcBorders>
              <w:top w:val="nil"/>
              <w:left w:val="single" w:sz="4" w:space="0" w:color="auto"/>
              <w:bottom w:val="nil"/>
              <w:right w:val="single" w:sz="4" w:space="0" w:color="auto"/>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single" w:sz="4" w:space="0" w:color="auto"/>
              <w:bottom w:val="single" w:sz="4" w:space="0" w:color="auto"/>
              <w:right w:val="single" w:sz="4" w:space="0" w:color="auto"/>
            </w:tcBorders>
          </w:tcPr>
          <w:p w:rsidR="006B3EE9" w:rsidRPr="008C6087" w:rsidRDefault="006B3EE9" w:rsidP="006B3EE9">
            <w:pPr>
              <w:spacing w:line="240" w:lineRule="auto"/>
              <w:rPr>
                <w:rFonts w:ascii="Lato" w:hAnsi="Lato"/>
                <w:szCs w:val="22"/>
              </w:rPr>
            </w:pPr>
          </w:p>
        </w:tc>
        <w:tc>
          <w:tcPr>
            <w:tcW w:w="398" w:type="dxa"/>
            <w:gridSpan w:val="2"/>
            <w:tcBorders>
              <w:top w:val="nil"/>
              <w:left w:val="single" w:sz="4" w:space="0" w:color="auto"/>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color w:val="auto"/>
                <w:sz w:val="22"/>
                <w:szCs w:val="22"/>
                <w:u w:val="single"/>
              </w:rPr>
              <w:t>classes</w:t>
            </w:r>
          </w:p>
        </w:tc>
        <w:tc>
          <w:tcPr>
            <w:tcW w:w="1646" w:type="dxa"/>
            <w:gridSpan w:val="6"/>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single" w:sz="4" w:space="0" w:color="auto"/>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rPr>
                <w:rFonts w:ascii="Lato" w:hAnsi="Lato"/>
                <w:b w:val="0"/>
                <w:bCs/>
                <w:color w:val="auto"/>
                <w:sz w:val="22"/>
                <w:szCs w:val="22"/>
              </w:rPr>
            </w:pPr>
            <w:r w:rsidRPr="008C6087">
              <w:rPr>
                <w:rFonts w:ascii="Lato" w:hAnsi="Lato"/>
                <w:b w:val="0"/>
                <w:bCs/>
                <w:color w:val="auto"/>
                <w:sz w:val="22"/>
                <w:szCs w:val="22"/>
              </w:rPr>
              <w:t xml:space="preserve">If provisions are made for a Retail Investor AIF to </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r w:rsidR="006B3EE9" w:rsidRPr="008C6087" w:rsidTr="00E35ECB">
        <w:trPr>
          <w:gridAfter w:val="1"/>
          <w:wAfter w:w="243" w:type="dxa"/>
        </w:trPr>
        <w:tc>
          <w:tcPr>
            <w:tcW w:w="1107" w:type="dxa"/>
            <w:tcBorders>
              <w:top w:val="nil"/>
              <w:left w:val="nil"/>
              <w:bottom w:val="nil"/>
              <w:right w:val="nil"/>
            </w:tcBorders>
          </w:tcPr>
          <w:p w:rsidR="006B3EE9" w:rsidRPr="008C6087" w:rsidRDefault="006B3EE9" w:rsidP="006B3EE9">
            <w:pPr>
              <w:spacing w:line="240" w:lineRule="auto"/>
              <w:jc w:val="right"/>
              <w:rPr>
                <w:rFonts w:ascii="Lato" w:hAnsi="Lato"/>
                <w:szCs w:val="22"/>
              </w:rPr>
            </w:pPr>
          </w:p>
        </w:tc>
        <w:tc>
          <w:tcPr>
            <w:tcW w:w="5479" w:type="dxa"/>
            <w:tcBorders>
              <w:top w:val="nil"/>
              <w:left w:val="nil"/>
              <w:bottom w:val="nil"/>
              <w:right w:val="nil"/>
            </w:tcBorders>
          </w:tcPr>
          <w:p w:rsidR="006B3EE9" w:rsidRPr="008C6087" w:rsidRDefault="006B3EE9" w:rsidP="006B3EE9">
            <w:pPr>
              <w:pStyle w:val="Heading3"/>
              <w:spacing w:before="0" w:after="0" w:line="240" w:lineRule="auto"/>
              <w:jc w:val="both"/>
              <w:rPr>
                <w:rFonts w:ascii="Lato" w:hAnsi="Lato"/>
                <w:b w:val="0"/>
                <w:bCs/>
                <w:color w:val="auto"/>
                <w:sz w:val="22"/>
                <w:szCs w:val="22"/>
              </w:rPr>
            </w:pPr>
            <w:r w:rsidRPr="00C21C70">
              <w:rPr>
                <w:rFonts w:ascii="Lato" w:hAnsi="Lato"/>
                <w:b w:val="0"/>
                <w:bCs/>
                <w:color w:val="auto"/>
                <w:sz w:val="22"/>
                <w:szCs w:val="22"/>
              </w:rPr>
              <w:t>change</w:t>
            </w:r>
            <w:r w:rsidRPr="008C6087">
              <w:rPr>
                <w:rFonts w:ascii="Lato" w:hAnsi="Lato"/>
                <w:b w:val="0"/>
                <w:bCs/>
                <w:color w:val="auto"/>
                <w:sz w:val="22"/>
                <w:szCs w:val="22"/>
              </w:rPr>
              <w:t xml:space="preserve"> its dividend policy (to accumulating/distributing as appropriate), indicate that full details will be disclosed in an updated prospectus/supplement and that all shareholders/unitholders will be notified in advance</w:t>
            </w:r>
          </w:p>
        </w:tc>
        <w:tc>
          <w:tcPr>
            <w:tcW w:w="1646" w:type="dxa"/>
            <w:gridSpan w:val="6"/>
            <w:tcBorders>
              <w:top w:val="nil"/>
              <w:left w:val="nil"/>
              <w:bottom w:val="nil"/>
              <w:right w:val="nil"/>
            </w:tcBorders>
          </w:tcPr>
          <w:p w:rsidR="006B3EE9" w:rsidRPr="008C6087" w:rsidRDefault="006B3EE9" w:rsidP="006B3EE9">
            <w:pPr>
              <w:spacing w:line="240" w:lineRule="auto"/>
              <w:rPr>
                <w:rFonts w:ascii="Lato" w:hAnsi="Lato"/>
                <w:szCs w:val="22"/>
              </w:rPr>
            </w:pPr>
          </w:p>
        </w:tc>
        <w:tc>
          <w:tcPr>
            <w:tcW w:w="324"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9" w:type="dxa"/>
            <w:tcBorders>
              <w:top w:val="nil"/>
              <w:left w:val="nil"/>
              <w:bottom w:val="nil"/>
              <w:right w:val="nil"/>
            </w:tcBorders>
          </w:tcPr>
          <w:p w:rsidR="006B3EE9" w:rsidRPr="008C6087" w:rsidRDefault="006B3EE9" w:rsidP="006B3EE9">
            <w:pPr>
              <w:spacing w:line="240" w:lineRule="auto"/>
              <w:rPr>
                <w:rFonts w:ascii="Lato" w:hAnsi="Lato"/>
                <w:szCs w:val="22"/>
              </w:rPr>
            </w:pPr>
          </w:p>
        </w:tc>
        <w:tc>
          <w:tcPr>
            <w:tcW w:w="507" w:type="dxa"/>
            <w:gridSpan w:val="3"/>
            <w:tcBorders>
              <w:top w:val="nil"/>
              <w:left w:val="nil"/>
              <w:bottom w:val="nil"/>
              <w:right w:val="nil"/>
            </w:tcBorders>
          </w:tcPr>
          <w:p w:rsidR="006B3EE9" w:rsidRPr="008C6087" w:rsidRDefault="006B3EE9" w:rsidP="006B3EE9">
            <w:pPr>
              <w:spacing w:line="240" w:lineRule="auto"/>
              <w:rPr>
                <w:rFonts w:ascii="Lato" w:hAnsi="Lato"/>
                <w:szCs w:val="22"/>
              </w:rPr>
            </w:pPr>
          </w:p>
        </w:tc>
        <w:tc>
          <w:tcPr>
            <w:tcW w:w="835" w:type="dxa"/>
            <w:gridSpan w:val="8"/>
            <w:tcBorders>
              <w:top w:val="nil"/>
              <w:left w:val="nil"/>
              <w:bottom w:val="nil"/>
              <w:right w:val="nil"/>
            </w:tcBorders>
          </w:tcPr>
          <w:p w:rsidR="006B3EE9" w:rsidRPr="008C6087" w:rsidRDefault="006B3EE9" w:rsidP="006B3EE9">
            <w:pPr>
              <w:spacing w:line="240" w:lineRule="auto"/>
              <w:rPr>
                <w:rFonts w:ascii="Lato" w:hAnsi="Lato"/>
                <w:szCs w:val="22"/>
              </w:rPr>
            </w:pPr>
          </w:p>
        </w:tc>
        <w:tc>
          <w:tcPr>
            <w:tcW w:w="398" w:type="dxa"/>
            <w:gridSpan w:val="2"/>
            <w:tcBorders>
              <w:top w:val="nil"/>
              <w:left w:val="nil"/>
              <w:bottom w:val="nil"/>
              <w:right w:val="nil"/>
            </w:tcBorders>
          </w:tcPr>
          <w:p w:rsidR="006B3EE9" w:rsidRPr="008C6087" w:rsidRDefault="006B3EE9" w:rsidP="006B3EE9">
            <w:pPr>
              <w:spacing w:line="240" w:lineRule="auto"/>
              <w:rPr>
                <w:rFonts w:ascii="Lato" w:hAnsi="Lato"/>
                <w:szCs w:val="22"/>
              </w:rPr>
            </w:pPr>
          </w:p>
        </w:tc>
        <w:tc>
          <w:tcPr>
            <w:tcW w:w="442" w:type="dxa"/>
            <w:gridSpan w:val="7"/>
            <w:tcBorders>
              <w:top w:val="nil"/>
              <w:left w:val="nil"/>
              <w:bottom w:val="nil"/>
              <w:right w:val="nil"/>
            </w:tcBorders>
          </w:tcPr>
          <w:p w:rsidR="006B3EE9" w:rsidRPr="008C6087" w:rsidRDefault="006B3EE9" w:rsidP="006B3EE9">
            <w:pPr>
              <w:spacing w:line="240" w:lineRule="auto"/>
              <w:rPr>
                <w:rFonts w:ascii="Lato" w:hAnsi="Lato"/>
                <w:szCs w:val="22"/>
              </w:rPr>
            </w:pPr>
          </w:p>
        </w:tc>
      </w:tr>
    </w:tbl>
    <w:p w:rsidR="00877692" w:rsidRPr="008C6087" w:rsidRDefault="00877692">
      <w:pPr>
        <w:spacing w:line="240" w:lineRule="auto"/>
        <w:rPr>
          <w:rFonts w:ascii="Lato" w:hAnsi="Lato"/>
          <w:b/>
          <w:szCs w:val="22"/>
        </w:rPr>
      </w:pPr>
    </w:p>
    <w:tbl>
      <w:tblPr>
        <w:tblW w:w="15357"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7"/>
        <w:gridCol w:w="116"/>
        <w:gridCol w:w="6858"/>
        <w:gridCol w:w="335"/>
        <w:gridCol w:w="657"/>
        <w:gridCol w:w="80"/>
        <w:gridCol w:w="156"/>
        <w:gridCol w:w="80"/>
        <w:gridCol w:w="623"/>
        <w:gridCol w:w="6"/>
        <w:gridCol w:w="80"/>
        <w:gridCol w:w="184"/>
        <w:gridCol w:w="80"/>
        <w:gridCol w:w="375"/>
        <w:gridCol w:w="80"/>
        <w:gridCol w:w="158"/>
        <w:gridCol w:w="8"/>
        <w:gridCol w:w="18"/>
        <w:gridCol w:w="80"/>
        <w:gridCol w:w="476"/>
        <w:gridCol w:w="114"/>
        <w:gridCol w:w="3686"/>
      </w:tblGrid>
      <w:tr w:rsidR="00FB497D" w:rsidRPr="008C6087" w:rsidTr="00E2618B">
        <w:tc>
          <w:tcPr>
            <w:tcW w:w="1107" w:type="dxa"/>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4382" w:type="dxa"/>
            <w:gridSpan w:val="6"/>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420A8" w:rsidRPr="008C6087" w:rsidRDefault="009420A8"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p>
        </w:tc>
        <w:tc>
          <w:tcPr>
            <w:tcW w:w="6974"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Information concerning the AIFM</w:t>
            </w:r>
          </w:p>
        </w:tc>
        <w:tc>
          <w:tcPr>
            <w:tcW w:w="992"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single" w:sz="4" w:space="0" w:color="auto"/>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nil"/>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.1</w:t>
            </w:r>
          </w:p>
        </w:tc>
        <w:tc>
          <w:tcPr>
            <w:tcW w:w="6974" w:type="dxa"/>
            <w:gridSpan w:val="2"/>
            <w:tcBorders>
              <w:top w:val="nil"/>
              <w:left w:val="nil"/>
              <w:bottom w:val="nil"/>
              <w:right w:val="single" w:sz="4" w:space="0" w:color="auto"/>
            </w:tcBorders>
          </w:tcPr>
          <w:p w:rsidR="009420A8" w:rsidRPr="008C6087" w:rsidRDefault="009420A8">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420A8" w:rsidRPr="008C6087" w:rsidRDefault="009420A8">
            <w:pPr>
              <w:spacing w:line="240" w:lineRule="auto"/>
              <w:rPr>
                <w:rFonts w:ascii="Lato" w:hAnsi="Lato"/>
                <w:szCs w:val="22"/>
              </w:rPr>
            </w:pPr>
          </w:p>
        </w:tc>
        <w:tc>
          <w:tcPr>
            <w:tcW w:w="238" w:type="dxa"/>
            <w:gridSpan w:val="2"/>
            <w:tcBorders>
              <w:top w:val="nil"/>
              <w:left w:val="single" w:sz="4" w:space="0" w:color="auto"/>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420A8" w:rsidRPr="008C6087" w:rsidRDefault="009420A8">
            <w:pPr>
              <w:spacing w:line="240" w:lineRule="auto"/>
              <w:rPr>
                <w:rFonts w:ascii="Lato" w:hAnsi="Lato"/>
                <w:szCs w:val="22"/>
              </w:rPr>
            </w:pPr>
          </w:p>
        </w:tc>
        <w:tc>
          <w:tcPr>
            <w:tcW w:w="6974"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6"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70" w:type="dxa"/>
            <w:gridSpan w:val="3"/>
            <w:tcBorders>
              <w:top w:val="nil"/>
              <w:left w:val="nil"/>
              <w:bottom w:val="nil"/>
              <w:right w:val="nil"/>
            </w:tcBorders>
          </w:tcPr>
          <w:p w:rsidR="009420A8" w:rsidRPr="008C6087" w:rsidRDefault="009420A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420A8" w:rsidRPr="008C6087" w:rsidRDefault="009420A8">
            <w:pPr>
              <w:spacing w:line="240" w:lineRule="auto"/>
              <w:rPr>
                <w:rFonts w:ascii="Lato" w:hAnsi="Lato"/>
                <w:szCs w:val="22"/>
              </w:rPr>
            </w:pPr>
          </w:p>
        </w:tc>
        <w:tc>
          <w:tcPr>
            <w:tcW w:w="238" w:type="dxa"/>
            <w:gridSpan w:val="2"/>
            <w:tcBorders>
              <w:top w:val="nil"/>
              <w:left w:val="nil"/>
              <w:bottom w:val="nil"/>
              <w:right w:val="nil"/>
            </w:tcBorders>
          </w:tcPr>
          <w:p w:rsidR="009420A8" w:rsidRPr="008C6087" w:rsidRDefault="009420A8">
            <w:pPr>
              <w:spacing w:line="240" w:lineRule="auto"/>
              <w:rPr>
                <w:rFonts w:ascii="Lato" w:hAnsi="Lato"/>
                <w:szCs w:val="22"/>
              </w:rPr>
            </w:pPr>
          </w:p>
        </w:tc>
        <w:tc>
          <w:tcPr>
            <w:tcW w:w="582" w:type="dxa"/>
            <w:gridSpan w:val="4"/>
            <w:tcBorders>
              <w:top w:val="nil"/>
              <w:left w:val="nil"/>
              <w:bottom w:val="nil"/>
              <w:right w:val="nil"/>
            </w:tcBorders>
          </w:tcPr>
          <w:p w:rsidR="009420A8" w:rsidRPr="008C6087" w:rsidRDefault="009420A8">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.2</w:t>
            </w:r>
          </w:p>
        </w:tc>
        <w:tc>
          <w:tcPr>
            <w:tcW w:w="6974" w:type="dxa"/>
            <w:gridSpan w:val="2"/>
            <w:tcBorders>
              <w:top w:val="nil"/>
              <w:left w:val="nil"/>
              <w:bottom w:val="nil"/>
              <w:right w:val="single" w:sz="4" w:space="0" w:color="auto"/>
            </w:tcBorders>
          </w:tcPr>
          <w:p w:rsidR="00F2482E" w:rsidRPr="008C6087" w:rsidRDefault="00F2482E" w:rsidP="00F2482E">
            <w:pPr>
              <w:spacing w:line="240" w:lineRule="auto"/>
              <w:rPr>
                <w:rFonts w:ascii="Lato" w:hAnsi="Lato"/>
                <w:szCs w:val="22"/>
              </w:rPr>
            </w:pPr>
            <w:r w:rsidRPr="008C6087">
              <w:rPr>
                <w:rFonts w:ascii="Lato" w:hAnsi="Lato"/>
                <w:szCs w:val="22"/>
              </w:rPr>
              <w:t>Disclose the jurisdiction and regulatory status where a non-</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8" w:type="dxa"/>
            <w:gridSpan w:val="2"/>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r w:rsidRPr="008C6087">
              <w:rPr>
                <w:rFonts w:ascii="Lato" w:hAnsi="Lato"/>
                <w:szCs w:val="22"/>
              </w:rPr>
              <w:t>Irish entity</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pPr>
              <w:spacing w:line="240" w:lineRule="auto"/>
              <w:rPr>
                <w:rFonts w:ascii="Lato" w:hAnsi="Lato"/>
                <w:szCs w:val="22"/>
              </w:rPr>
            </w:pPr>
          </w:p>
        </w:tc>
        <w:tc>
          <w:tcPr>
            <w:tcW w:w="6974"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6"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703"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70" w:type="dxa"/>
            <w:gridSpan w:val="3"/>
            <w:tcBorders>
              <w:top w:val="nil"/>
              <w:left w:val="nil"/>
              <w:bottom w:val="nil"/>
              <w:right w:val="nil"/>
            </w:tcBorders>
          </w:tcPr>
          <w:p w:rsidR="007B119A" w:rsidRPr="008C6087" w:rsidRDefault="007B119A">
            <w:pPr>
              <w:spacing w:line="240" w:lineRule="auto"/>
              <w:rPr>
                <w:rFonts w:ascii="Lato" w:hAnsi="Lato"/>
                <w:szCs w:val="22"/>
              </w:rPr>
            </w:pPr>
          </w:p>
        </w:tc>
        <w:tc>
          <w:tcPr>
            <w:tcW w:w="455" w:type="dxa"/>
            <w:gridSpan w:val="2"/>
            <w:tcBorders>
              <w:top w:val="nil"/>
              <w:left w:val="nil"/>
              <w:bottom w:val="single" w:sz="4" w:space="0" w:color="auto"/>
              <w:right w:val="nil"/>
            </w:tcBorders>
          </w:tcPr>
          <w:p w:rsidR="007B119A" w:rsidRPr="008C6087" w:rsidRDefault="007B119A">
            <w:pPr>
              <w:spacing w:line="240" w:lineRule="auto"/>
              <w:rPr>
                <w:rFonts w:ascii="Lato" w:hAnsi="Lato"/>
                <w:szCs w:val="22"/>
              </w:rPr>
            </w:pPr>
          </w:p>
        </w:tc>
        <w:tc>
          <w:tcPr>
            <w:tcW w:w="238" w:type="dxa"/>
            <w:gridSpan w:val="2"/>
            <w:tcBorders>
              <w:top w:val="nil"/>
              <w:left w:val="nil"/>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7B119A" w:rsidRPr="008C6087" w:rsidTr="008C6087">
        <w:trPr>
          <w:gridAfter w:val="2"/>
          <w:wAfter w:w="3800" w:type="dxa"/>
        </w:trPr>
        <w:tc>
          <w:tcPr>
            <w:tcW w:w="1107" w:type="dxa"/>
            <w:tcBorders>
              <w:top w:val="nil"/>
              <w:left w:val="nil"/>
              <w:bottom w:val="nil"/>
              <w:right w:val="nil"/>
            </w:tcBorders>
          </w:tcPr>
          <w:p w:rsidR="007B119A" w:rsidRPr="008C6087" w:rsidRDefault="007B119A"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.3</w:t>
            </w:r>
          </w:p>
        </w:tc>
        <w:tc>
          <w:tcPr>
            <w:tcW w:w="6974" w:type="dxa"/>
            <w:gridSpan w:val="2"/>
            <w:tcBorders>
              <w:top w:val="nil"/>
              <w:left w:val="nil"/>
              <w:bottom w:val="nil"/>
              <w:right w:val="single" w:sz="4" w:space="0" w:color="auto"/>
            </w:tcBorders>
          </w:tcPr>
          <w:p w:rsidR="007B119A" w:rsidRPr="008C6087" w:rsidRDefault="007B119A" w:rsidP="007B119A">
            <w:pPr>
              <w:spacing w:line="240" w:lineRule="auto"/>
              <w:rPr>
                <w:rFonts w:ascii="Lato" w:hAnsi="Lato"/>
                <w:szCs w:val="22"/>
              </w:rPr>
            </w:pPr>
            <w:r w:rsidRPr="008C6087">
              <w:rPr>
                <w:rFonts w:ascii="Lato" w:hAnsi="Lato"/>
                <w:szCs w:val="22"/>
              </w:rPr>
              <w:t>Disclose any significant activities engaged in by the AIFM</w:t>
            </w:r>
          </w:p>
        </w:tc>
        <w:tc>
          <w:tcPr>
            <w:tcW w:w="992"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7B119A" w:rsidRPr="008C6087" w:rsidRDefault="007B119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7B119A" w:rsidRPr="008C6087" w:rsidRDefault="007B119A">
            <w:pPr>
              <w:spacing w:line="240" w:lineRule="auto"/>
              <w:rPr>
                <w:rFonts w:ascii="Lato" w:hAnsi="Lato"/>
                <w:szCs w:val="22"/>
              </w:rPr>
            </w:pPr>
          </w:p>
        </w:tc>
        <w:tc>
          <w:tcPr>
            <w:tcW w:w="238" w:type="dxa"/>
            <w:gridSpan w:val="2"/>
            <w:tcBorders>
              <w:top w:val="nil"/>
              <w:left w:val="single" w:sz="4" w:space="0" w:color="auto"/>
              <w:bottom w:val="nil"/>
              <w:right w:val="nil"/>
            </w:tcBorders>
          </w:tcPr>
          <w:p w:rsidR="007B119A" w:rsidRPr="008C6087" w:rsidRDefault="007B119A">
            <w:pPr>
              <w:spacing w:line="240" w:lineRule="auto"/>
              <w:rPr>
                <w:rFonts w:ascii="Lato" w:hAnsi="Lato"/>
                <w:szCs w:val="22"/>
              </w:rPr>
            </w:pPr>
          </w:p>
        </w:tc>
        <w:tc>
          <w:tcPr>
            <w:tcW w:w="582" w:type="dxa"/>
            <w:gridSpan w:val="4"/>
            <w:tcBorders>
              <w:top w:val="nil"/>
              <w:left w:val="nil"/>
              <w:bottom w:val="nil"/>
              <w:right w:val="nil"/>
            </w:tcBorders>
          </w:tcPr>
          <w:p w:rsidR="007B119A" w:rsidRPr="008C6087" w:rsidRDefault="007B119A">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7B119A">
            <w:pPr>
              <w:spacing w:line="240" w:lineRule="auto"/>
              <w:rPr>
                <w:rFonts w:ascii="Lato" w:hAnsi="Lato"/>
                <w:szCs w:val="22"/>
              </w:rPr>
            </w:pPr>
          </w:p>
        </w:tc>
        <w:tc>
          <w:tcPr>
            <w:tcW w:w="992"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.4</w:t>
            </w:r>
          </w:p>
        </w:tc>
        <w:tc>
          <w:tcPr>
            <w:tcW w:w="6974" w:type="dxa"/>
            <w:gridSpan w:val="2"/>
            <w:tcBorders>
              <w:top w:val="nil"/>
              <w:left w:val="nil"/>
              <w:bottom w:val="nil"/>
              <w:right w:val="nil"/>
            </w:tcBorders>
          </w:tcPr>
          <w:p w:rsidR="003044B0" w:rsidRPr="008C6087" w:rsidRDefault="003044B0" w:rsidP="002D3BC9">
            <w:pPr>
              <w:spacing w:line="240" w:lineRule="auto"/>
              <w:rPr>
                <w:rFonts w:ascii="Lato" w:hAnsi="Lato"/>
                <w:szCs w:val="22"/>
              </w:rPr>
            </w:pPr>
            <w:r w:rsidRPr="008C6087">
              <w:rPr>
                <w:rFonts w:ascii="Lato" w:hAnsi="Lato"/>
                <w:szCs w:val="22"/>
              </w:rPr>
              <w:t xml:space="preserve">Confirm that to cover potential professional liability risks resulting from activities which the AIFM </w:t>
            </w:r>
            <w:r w:rsidR="002D3BC9" w:rsidRPr="008C6087">
              <w:rPr>
                <w:rFonts w:ascii="Lato" w:hAnsi="Lato"/>
                <w:szCs w:val="22"/>
              </w:rPr>
              <w:t>(this applies to</w:t>
            </w:r>
            <w:r w:rsidRPr="008C6087">
              <w:rPr>
                <w:rFonts w:ascii="Lato" w:hAnsi="Lato"/>
                <w:szCs w:val="22"/>
              </w:rPr>
              <w:t xml:space="preserve"> both internally managed AIFs and external AIFMs</w:t>
            </w:r>
            <w:r w:rsidR="002D3BC9" w:rsidRPr="008C6087">
              <w:rPr>
                <w:rFonts w:ascii="Lato" w:hAnsi="Lato"/>
                <w:szCs w:val="22"/>
              </w:rPr>
              <w:t>)</w:t>
            </w:r>
            <w:r w:rsidRPr="008C6087">
              <w:rPr>
                <w:rFonts w:ascii="Lato" w:hAnsi="Lato"/>
                <w:szCs w:val="22"/>
              </w:rPr>
              <w:t xml:space="preserve"> </w:t>
            </w:r>
            <w:r w:rsidR="002D3BC9" w:rsidRPr="008C6087">
              <w:rPr>
                <w:rFonts w:ascii="Lato" w:hAnsi="Lato"/>
                <w:szCs w:val="22"/>
              </w:rPr>
              <w:t xml:space="preserve">may carry out </w:t>
            </w:r>
            <w:r w:rsidRPr="008C6087">
              <w:rPr>
                <w:rFonts w:ascii="Lato" w:hAnsi="Lato"/>
                <w:szCs w:val="22"/>
              </w:rPr>
              <w:t>shall either: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nil"/>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(a) have additional own funds which are appropriate to cover potential</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3044B0">
            <w:pPr>
              <w:spacing w:line="240" w:lineRule="auto"/>
              <w:rPr>
                <w:rFonts w:ascii="Lato" w:hAnsi="Lato"/>
                <w:szCs w:val="22"/>
              </w:rPr>
            </w:pPr>
            <w:r w:rsidRPr="008C6087">
              <w:rPr>
                <w:rFonts w:ascii="Lato" w:hAnsi="Lato"/>
                <w:szCs w:val="22"/>
              </w:rPr>
              <w:t>liability risks arising from professional negligence; or</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044B0" w:rsidP="00A860FB">
            <w:pPr>
              <w:spacing w:line="240" w:lineRule="auto"/>
              <w:rPr>
                <w:rFonts w:ascii="Lato" w:hAnsi="Lato"/>
                <w:szCs w:val="22"/>
              </w:rPr>
            </w:pPr>
            <w:r w:rsidRPr="008C6087">
              <w:rPr>
                <w:rFonts w:ascii="Lato" w:hAnsi="Lato"/>
                <w:szCs w:val="22"/>
              </w:rPr>
              <w:t xml:space="preserve">(b) hold a professional indemnity insurance against liability arising </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single" w:sz="4" w:space="0" w:color="auto"/>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044B0" w:rsidRPr="008C6087" w:rsidRDefault="003044B0">
            <w:pPr>
              <w:spacing w:line="240" w:lineRule="auto"/>
              <w:rPr>
                <w:rFonts w:ascii="Lato" w:hAnsi="Lato"/>
                <w:szCs w:val="22"/>
              </w:rPr>
            </w:pPr>
          </w:p>
        </w:tc>
        <w:tc>
          <w:tcPr>
            <w:tcW w:w="238" w:type="dxa"/>
            <w:gridSpan w:val="2"/>
            <w:tcBorders>
              <w:top w:val="nil"/>
              <w:left w:val="single" w:sz="4" w:space="0" w:color="auto"/>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3044B0" w:rsidRPr="008C6087" w:rsidTr="008C6087">
        <w:trPr>
          <w:gridAfter w:val="2"/>
          <w:wAfter w:w="3800" w:type="dxa"/>
        </w:trPr>
        <w:tc>
          <w:tcPr>
            <w:tcW w:w="1107" w:type="dxa"/>
            <w:tcBorders>
              <w:top w:val="nil"/>
              <w:left w:val="nil"/>
              <w:bottom w:val="nil"/>
              <w:right w:val="nil"/>
            </w:tcBorders>
          </w:tcPr>
          <w:p w:rsidR="003044B0" w:rsidRPr="008C6087" w:rsidRDefault="003044B0">
            <w:pPr>
              <w:spacing w:line="240" w:lineRule="auto"/>
              <w:rPr>
                <w:rFonts w:ascii="Lato" w:hAnsi="Lato"/>
                <w:szCs w:val="22"/>
              </w:rPr>
            </w:pPr>
          </w:p>
        </w:tc>
        <w:tc>
          <w:tcPr>
            <w:tcW w:w="6974" w:type="dxa"/>
            <w:gridSpan w:val="2"/>
            <w:tcBorders>
              <w:top w:val="nil"/>
              <w:left w:val="nil"/>
              <w:bottom w:val="nil"/>
              <w:right w:val="nil"/>
            </w:tcBorders>
          </w:tcPr>
          <w:p w:rsidR="003044B0" w:rsidRPr="008C6087" w:rsidRDefault="00317A44" w:rsidP="007B119A">
            <w:pPr>
              <w:spacing w:line="240" w:lineRule="auto"/>
              <w:rPr>
                <w:rFonts w:ascii="Lato" w:hAnsi="Lato"/>
                <w:szCs w:val="22"/>
              </w:rPr>
            </w:pPr>
            <w:r w:rsidRPr="00366D5D">
              <w:rPr>
                <w:rFonts w:ascii="Lato" w:hAnsi="Lato"/>
                <w:szCs w:val="22"/>
              </w:rPr>
              <w:t>from</w:t>
            </w:r>
            <w:r w:rsidRPr="00A860FB">
              <w:rPr>
                <w:rFonts w:ascii="Lato" w:hAnsi="Lato"/>
                <w:szCs w:val="22"/>
              </w:rPr>
              <w:t xml:space="preserve"> </w:t>
            </w:r>
            <w:r w:rsidR="003044B0" w:rsidRPr="008C6087">
              <w:rPr>
                <w:rFonts w:ascii="Lato" w:hAnsi="Lato"/>
                <w:szCs w:val="22"/>
              </w:rPr>
              <w:t>professional negligence which is appropriate to the risks covered.</w:t>
            </w:r>
          </w:p>
        </w:tc>
        <w:tc>
          <w:tcPr>
            <w:tcW w:w="992"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36"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703"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270" w:type="dxa"/>
            <w:gridSpan w:val="3"/>
            <w:tcBorders>
              <w:top w:val="nil"/>
              <w:left w:val="nil"/>
              <w:bottom w:val="nil"/>
              <w:right w:val="nil"/>
            </w:tcBorders>
          </w:tcPr>
          <w:p w:rsidR="003044B0" w:rsidRPr="008C6087" w:rsidRDefault="003044B0">
            <w:pPr>
              <w:spacing w:line="240" w:lineRule="auto"/>
              <w:rPr>
                <w:rFonts w:ascii="Lato" w:hAnsi="Lato"/>
                <w:szCs w:val="22"/>
              </w:rPr>
            </w:pPr>
          </w:p>
        </w:tc>
        <w:tc>
          <w:tcPr>
            <w:tcW w:w="455" w:type="dxa"/>
            <w:gridSpan w:val="2"/>
            <w:tcBorders>
              <w:top w:val="single" w:sz="4" w:space="0" w:color="auto"/>
              <w:left w:val="nil"/>
              <w:bottom w:val="nil"/>
              <w:right w:val="nil"/>
            </w:tcBorders>
          </w:tcPr>
          <w:p w:rsidR="003044B0" w:rsidRPr="008C6087" w:rsidRDefault="003044B0">
            <w:pPr>
              <w:spacing w:line="240" w:lineRule="auto"/>
              <w:rPr>
                <w:rFonts w:ascii="Lato" w:hAnsi="Lato"/>
                <w:szCs w:val="22"/>
              </w:rPr>
            </w:pPr>
          </w:p>
        </w:tc>
        <w:tc>
          <w:tcPr>
            <w:tcW w:w="238" w:type="dxa"/>
            <w:gridSpan w:val="2"/>
            <w:tcBorders>
              <w:top w:val="nil"/>
              <w:left w:val="nil"/>
              <w:bottom w:val="nil"/>
              <w:right w:val="nil"/>
            </w:tcBorders>
          </w:tcPr>
          <w:p w:rsidR="003044B0" w:rsidRPr="008C6087" w:rsidRDefault="003044B0">
            <w:pPr>
              <w:spacing w:line="240" w:lineRule="auto"/>
              <w:rPr>
                <w:rFonts w:ascii="Lato" w:hAnsi="Lato"/>
                <w:szCs w:val="22"/>
              </w:rPr>
            </w:pPr>
          </w:p>
        </w:tc>
        <w:tc>
          <w:tcPr>
            <w:tcW w:w="582" w:type="dxa"/>
            <w:gridSpan w:val="4"/>
            <w:tcBorders>
              <w:top w:val="nil"/>
              <w:left w:val="nil"/>
              <w:bottom w:val="nil"/>
              <w:right w:val="nil"/>
            </w:tcBorders>
          </w:tcPr>
          <w:p w:rsidR="003044B0" w:rsidRPr="008C6087" w:rsidRDefault="003044B0">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7B119A">
            <w:pPr>
              <w:spacing w:line="240" w:lineRule="auto"/>
              <w:rPr>
                <w:rFonts w:ascii="Lato" w:hAnsi="Lato"/>
                <w:szCs w:val="22"/>
              </w:rPr>
            </w:pPr>
          </w:p>
        </w:tc>
        <w:tc>
          <w:tcPr>
            <w:tcW w:w="992"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nil"/>
              <w:left w:val="nil"/>
              <w:bottom w:val="single" w:sz="4" w:space="0" w:color="auto"/>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6</w:t>
            </w:r>
            <w:r w:rsidRPr="008C6087">
              <w:rPr>
                <w:rFonts w:ascii="Lato" w:hAnsi="Lato"/>
                <w:szCs w:val="22"/>
              </w:rPr>
              <w:t>.5</w:t>
            </w:r>
          </w:p>
        </w:tc>
        <w:tc>
          <w:tcPr>
            <w:tcW w:w="6974" w:type="dxa"/>
            <w:gridSpan w:val="2"/>
            <w:tcBorders>
              <w:top w:val="nil"/>
              <w:left w:val="nil"/>
              <w:bottom w:val="nil"/>
              <w:right w:val="single" w:sz="4" w:space="0" w:color="auto"/>
            </w:tcBorders>
          </w:tcPr>
          <w:p w:rsidR="000E51D2" w:rsidRPr="008C6087" w:rsidRDefault="000E51D2" w:rsidP="000E51D2">
            <w:pPr>
              <w:spacing w:line="240" w:lineRule="auto"/>
              <w:rPr>
                <w:rFonts w:ascii="Lato" w:hAnsi="Lato"/>
                <w:szCs w:val="22"/>
              </w:rPr>
            </w:pPr>
            <w:r w:rsidRPr="008C6087">
              <w:rPr>
                <w:rFonts w:ascii="Lato" w:hAnsi="Lato"/>
                <w:szCs w:val="22"/>
              </w:rPr>
              <w:t xml:space="preserve">Insert a description of how the AIFM is complying with the </w:t>
            </w:r>
          </w:p>
        </w:tc>
        <w:tc>
          <w:tcPr>
            <w:tcW w:w="992"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0E51D2" w:rsidRPr="008C6087" w:rsidRDefault="000E51D2">
            <w:pPr>
              <w:spacing w:line="240" w:lineRule="auto"/>
              <w:rPr>
                <w:rFonts w:ascii="Lato" w:hAnsi="Lato"/>
                <w:szCs w:val="22"/>
              </w:rPr>
            </w:pPr>
          </w:p>
        </w:tc>
        <w:tc>
          <w:tcPr>
            <w:tcW w:w="238" w:type="dxa"/>
            <w:gridSpan w:val="2"/>
            <w:tcBorders>
              <w:top w:val="nil"/>
              <w:left w:val="single" w:sz="4" w:space="0" w:color="auto"/>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0E51D2" w:rsidRPr="008C6087" w:rsidTr="008C6087">
        <w:trPr>
          <w:gridAfter w:val="2"/>
          <w:wAfter w:w="3800" w:type="dxa"/>
        </w:trPr>
        <w:tc>
          <w:tcPr>
            <w:tcW w:w="1107" w:type="dxa"/>
            <w:tcBorders>
              <w:top w:val="nil"/>
              <w:left w:val="nil"/>
              <w:bottom w:val="nil"/>
              <w:right w:val="nil"/>
            </w:tcBorders>
          </w:tcPr>
          <w:p w:rsidR="000E51D2" w:rsidRPr="008C6087" w:rsidRDefault="000E51D2">
            <w:pPr>
              <w:spacing w:line="240" w:lineRule="auto"/>
              <w:rPr>
                <w:rFonts w:ascii="Lato" w:hAnsi="Lato"/>
                <w:szCs w:val="22"/>
              </w:rPr>
            </w:pPr>
          </w:p>
        </w:tc>
        <w:tc>
          <w:tcPr>
            <w:tcW w:w="6974" w:type="dxa"/>
            <w:gridSpan w:val="2"/>
            <w:tcBorders>
              <w:top w:val="nil"/>
              <w:left w:val="nil"/>
              <w:bottom w:val="nil"/>
              <w:right w:val="nil"/>
            </w:tcBorders>
          </w:tcPr>
          <w:p w:rsidR="000E51D2" w:rsidRPr="008C6087" w:rsidRDefault="000E51D2" w:rsidP="00EC164B">
            <w:pPr>
              <w:spacing w:line="240" w:lineRule="auto"/>
              <w:rPr>
                <w:rFonts w:ascii="Lato" w:hAnsi="Lato"/>
                <w:szCs w:val="22"/>
              </w:rPr>
            </w:pPr>
            <w:r w:rsidRPr="008C6087">
              <w:rPr>
                <w:rFonts w:ascii="Lato" w:hAnsi="Lato"/>
                <w:szCs w:val="22"/>
              </w:rPr>
              <w:t xml:space="preserve">requirements of Regulation </w:t>
            </w:r>
            <w:r w:rsidR="00EC164B" w:rsidRPr="008C6087">
              <w:rPr>
                <w:rFonts w:ascii="Lato" w:hAnsi="Lato"/>
                <w:szCs w:val="22"/>
              </w:rPr>
              <w:t>14</w:t>
            </w:r>
          </w:p>
        </w:tc>
        <w:tc>
          <w:tcPr>
            <w:tcW w:w="992"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6"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703"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70" w:type="dxa"/>
            <w:gridSpan w:val="3"/>
            <w:tcBorders>
              <w:top w:val="nil"/>
              <w:left w:val="nil"/>
              <w:bottom w:val="nil"/>
              <w:right w:val="nil"/>
            </w:tcBorders>
          </w:tcPr>
          <w:p w:rsidR="000E51D2" w:rsidRPr="008C6087" w:rsidRDefault="000E51D2">
            <w:pPr>
              <w:spacing w:line="240" w:lineRule="auto"/>
              <w:rPr>
                <w:rFonts w:ascii="Lato" w:hAnsi="Lato"/>
                <w:szCs w:val="22"/>
              </w:rPr>
            </w:pPr>
          </w:p>
        </w:tc>
        <w:tc>
          <w:tcPr>
            <w:tcW w:w="455" w:type="dxa"/>
            <w:gridSpan w:val="2"/>
            <w:tcBorders>
              <w:top w:val="single" w:sz="4" w:space="0" w:color="auto"/>
              <w:left w:val="nil"/>
              <w:bottom w:val="nil"/>
              <w:right w:val="nil"/>
            </w:tcBorders>
          </w:tcPr>
          <w:p w:rsidR="000E51D2" w:rsidRPr="008C6087" w:rsidRDefault="000E51D2">
            <w:pPr>
              <w:spacing w:line="240" w:lineRule="auto"/>
              <w:rPr>
                <w:rFonts w:ascii="Lato" w:hAnsi="Lato"/>
                <w:szCs w:val="22"/>
              </w:rPr>
            </w:pPr>
          </w:p>
        </w:tc>
        <w:tc>
          <w:tcPr>
            <w:tcW w:w="238" w:type="dxa"/>
            <w:gridSpan w:val="2"/>
            <w:tcBorders>
              <w:top w:val="nil"/>
              <w:left w:val="nil"/>
              <w:bottom w:val="nil"/>
              <w:right w:val="nil"/>
            </w:tcBorders>
          </w:tcPr>
          <w:p w:rsidR="000E51D2" w:rsidRPr="008C6087" w:rsidRDefault="000E51D2">
            <w:pPr>
              <w:spacing w:line="240" w:lineRule="auto"/>
              <w:rPr>
                <w:rFonts w:ascii="Lato" w:hAnsi="Lato"/>
                <w:szCs w:val="22"/>
              </w:rPr>
            </w:pPr>
          </w:p>
        </w:tc>
        <w:tc>
          <w:tcPr>
            <w:tcW w:w="582" w:type="dxa"/>
            <w:gridSpan w:val="4"/>
            <w:tcBorders>
              <w:top w:val="nil"/>
              <w:left w:val="nil"/>
              <w:bottom w:val="nil"/>
              <w:right w:val="nil"/>
            </w:tcBorders>
          </w:tcPr>
          <w:p w:rsidR="000E51D2" w:rsidRPr="008C6087" w:rsidRDefault="000E51D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p>
        </w:tc>
        <w:tc>
          <w:tcPr>
            <w:tcW w:w="6974" w:type="dxa"/>
            <w:gridSpan w:val="2"/>
            <w:tcBorders>
              <w:top w:val="single" w:sz="4" w:space="0" w:color="auto"/>
              <w:left w:val="single" w:sz="4" w:space="0" w:color="auto"/>
              <w:bottom w:val="single" w:sz="4" w:space="0" w:color="auto"/>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Information </w:t>
            </w:r>
            <w:r w:rsidR="003D0FCC" w:rsidRPr="008C6087">
              <w:rPr>
                <w:rFonts w:ascii="Lato" w:hAnsi="Lato"/>
                <w:szCs w:val="22"/>
              </w:rPr>
              <w:t xml:space="preserve">concerning </w:t>
            </w:r>
            <w:r w:rsidRPr="008C6087">
              <w:rPr>
                <w:rFonts w:ascii="Lato" w:hAnsi="Lato"/>
                <w:szCs w:val="22"/>
              </w:rPr>
              <w:t xml:space="preserve">a </w:t>
            </w:r>
            <w:r w:rsidR="003D0FCC" w:rsidRPr="008C6087">
              <w:rPr>
                <w:rFonts w:ascii="Lato" w:hAnsi="Lato"/>
                <w:szCs w:val="22"/>
              </w:rPr>
              <w:t>management company</w:t>
            </w:r>
            <w:r w:rsidR="00D92B51" w:rsidRPr="008C6087">
              <w:rPr>
                <w:rFonts w:ascii="Lato" w:hAnsi="Lato"/>
                <w:szCs w:val="22"/>
              </w:rPr>
              <w:t>/</w:t>
            </w:r>
            <w:r w:rsidR="003D0FCC" w:rsidRPr="008C6087">
              <w:rPr>
                <w:rFonts w:ascii="Lato" w:hAnsi="Lato"/>
                <w:szCs w:val="22"/>
              </w:rPr>
              <w:t>general partner</w:t>
            </w:r>
          </w:p>
        </w:tc>
        <w:tc>
          <w:tcPr>
            <w:tcW w:w="992" w:type="dxa"/>
            <w:gridSpan w:val="2"/>
            <w:tcBorders>
              <w:top w:val="nil"/>
              <w:left w:val="single" w:sz="4" w:space="0" w:color="auto"/>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r w:rsidRPr="008C6087">
              <w:rPr>
                <w:rFonts w:ascii="Lato" w:hAnsi="Lato"/>
                <w:szCs w:val="22"/>
              </w:rPr>
              <w:t>Disclose</w:t>
            </w:r>
          </w:p>
        </w:tc>
        <w:tc>
          <w:tcPr>
            <w:tcW w:w="992"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b/>
                <w:bCs/>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.1</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.2</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Form in law</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35251">
            <w:pPr>
              <w:spacing w:line="240" w:lineRule="auto"/>
              <w:rPr>
                <w:rFonts w:ascii="Lato" w:hAnsi="Lato"/>
                <w:szCs w:val="22"/>
              </w:rPr>
            </w:pPr>
            <w:r w:rsidRPr="008C6087">
              <w:rPr>
                <w:rFonts w:ascii="Lato" w:hAnsi="Lato"/>
                <w:szCs w:val="22"/>
              </w:rPr>
              <w:t>2.</w:t>
            </w:r>
            <w:r w:rsidR="00B35251" w:rsidRPr="008C6087">
              <w:rPr>
                <w:rFonts w:ascii="Lato" w:hAnsi="Lato"/>
                <w:szCs w:val="22"/>
              </w:rPr>
              <w:t>7</w:t>
            </w:r>
            <w:r w:rsidRPr="008C6087">
              <w:rPr>
                <w:rFonts w:ascii="Lato" w:hAnsi="Lato"/>
                <w:szCs w:val="22"/>
              </w:rPr>
              <w:t>.3</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.4</w:t>
            </w:r>
          </w:p>
        </w:tc>
        <w:tc>
          <w:tcPr>
            <w:tcW w:w="6974" w:type="dxa"/>
            <w:gridSpan w:val="2"/>
            <w:tcBorders>
              <w:top w:val="nil"/>
              <w:left w:val="nil"/>
              <w:bottom w:val="nil"/>
              <w:right w:val="single" w:sz="4" w:space="0" w:color="auto"/>
            </w:tcBorders>
          </w:tcPr>
          <w:p w:rsidR="00877692" w:rsidRPr="008C6087" w:rsidRDefault="00877692">
            <w:pPr>
              <w:spacing w:line="240" w:lineRule="auto"/>
              <w:rPr>
                <w:rFonts w:ascii="Lato" w:hAnsi="Lato"/>
                <w:szCs w:val="22"/>
              </w:rPr>
            </w:pPr>
            <w:r w:rsidRPr="008C6087">
              <w:rPr>
                <w:rFonts w:ascii="Lato" w:hAnsi="Lato"/>
                <w:szCs w:val="22"/>
              </w:rPr>
              <w:t>Head office (if different from registered office)</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.5</w:t>
            </w:r>
          </w:p>
        </w:tc>
        <w:tc>
          <w:tcPr>
            <w:tcW w:w="6974" w:type="dxa"/>
            <w:gridSpan w:val="2"/>
            <w:tcBorders>
              <w:top w:val="nil"/>
              <w:left w:val="nil"/>
              <w:bottom w:val="nil"/>
              <w:right w:val="single" w:sz="4" w:space="0" w:color="auto"/>
            </w:tcBorders>
          </w:tcPr>
          <w:p w:rsidR="00877692" w:rsidRPr="008C6087" w:rsidRDefault="00877692" w:rsidP="00A860FB">
            <w:pPr>
              <w:spacing w:line="240" w:lineRule="auto"/>
              <w:rPr>
                <w:rFonts w:ascii="Lato" w:hAnsi="Lato"/>
                <w:szCs w:val="22"/>
              </w:rPr>
            </w:pPr>
            <w:r w:rsidRPr="008C6087">
              <w:rPr>
                <w:rFonts w:ascii="Lato" w:hAnsi="Lato"/>
                <w:szCs w:val="22"/>
              </w:rPr>
              <w:t xml:space="preserve">If the </w:t>
            </w:r>
            <w:r w:rsidR="003D0FCC" w:rsidRPr="008C6087">
              <w:rPr>
                <w:rFonts w:ascii="Lato" w:hAnsi="Lato"/>
                <w:szCs w:val="22"/>
              </w:rPr>
              <w:t xml:space="preserve">management </w:t>
            </w:r>
            <w:r w:rsidRPr="008C6087">
              <w:rPr>
                <w:rFonts w:ascii="Lato" w:hAnsi="Lato"/>
                <w:szCs w:val="22"/>
              </w:rPr>
              <w:t>company</w:t>
            </w:r>
            <w:r w:rsidR="00F2482E" w:rsidRPr="008C6087">
              <w:rPr>
                <w:rFonts w:ascii="Lato" w:hAnsi="Lato"/>
                <w:szCs w:val="22"/>
              </w:rPr>
              <w:t>/general par</w:t>
            </w:r>
            <w:r w:rsidR="00615B15" w:rsidRPr="008C6087">
              <w:rPr>
                <w:rFonts w:ascii="Lato" w:hAnsi="Lato"/>
                <w:szCs w:val="22"/>
              </w:rPr>
              <w:t>t</w:t>
            </w:r>
            <w:r w:rsidR="00F2482E" w:rsidRPr="008C6087">
              <w:rPr>
                <w:rFonts w:ascii="Lato" w:hAnsi="Lato"/>
                <w:szCs w:val="22"/>
              </w:rPr>
              <w:t>ner</w:t>
            </w:r>
            <w:r w:rsidRPr="008C6087">
              <w:rPr>
                <w:rFonts w:ascii="Lato" w:hAnsi="Lato"/>
                <w:szCs w:val="22"/>
              </w:rPr>
              <w:t xml:space="preserve"> is part of a group, name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17A44">
            <w:pPr>
              <w:spacing w:line="240" w:lineRule="auto"/>
              <w:rPr>
                <w:rFonts w:ascii="Lato" w:hAnsi="Lato"/>
                <w:szCs w:val="22"/>
              </w:rPr>
            </w:pPr>
            <w:r w:rsidRPr="00366D5D">
              <w:rPr>
                <w:rFonts w:ascii="Lato" w:hAnsi="Lato"/>
                <w:szCs w:val="22"/>
              </w:rPr>
              <w:t>the</w:t>
            </w:r>
            <w:r w:rsidRPr="00A860FB">
              <w:rPr>
                <w:rFonts w:ascii="Lato" w:hAnsi="Lato"/>
                <w:szCs w:val="22"/>
              </w:rPr>
              <w:t xml:space="preserve"> </w:t>
            </w:r>
            <w:r w:rsidR="00F2482E" w:rsidRPr="008C6087">
              <w:rPr>
                <w:rFonts w:ascii="Lato" w:hAnsi="Lato"/>
                <w:szCs w:val="22"/>
              </w:rPr>
              <w:t>group</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3"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70" w:type="dxa"/>
            <w:gridSpan w:val="3"/>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8"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582" w:type="dxa"/>
            <w:gridSpan w:val="4"/>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single" w:sz="4" w:space="0" w:color="auto"/>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53723C" w:rsidRPr="008C6087">
              <w:rPr>
                <w:rFonts w:ascii="Lato" w:hAnsi="Lato"/>
                <w:szCs w:val="22"/>
              </w:rPr>
              <w:t>6</w:t>
            </w:r>
          </w:p>
        </w:tc>
        <w:tc>
          <w:tcPr>
            <w:tcW w:w="6974" w:type="dxa"/>
            <w:gridSpan w:val="2"/>
            <w:tcBorders>
              <w:top w:val="nil"/>
              <w:left w:val="nil"/>
              <w:bottom w:val="nil"/>
              <w:right w:val="single" w:sz="4" w:space="0" w:color="auto"/>
            </w:tcBorders>
          </w:tcPr>
          <w:p w:rsidR="00877692" w:rsidRPr="008C6087" w:rsidRDefault="00877692" w:rsidP="003D0FCC">
            <w:pPr>
              <w:spacing w:line="240" w:lineRule="auto"/>
              <w:rPr>
                <w:rFonts w:ascii="Lato" w:hAnsi="Lato"/>
                <w:szCs w:val="22"/>
              </w:rPr>
            </w:pPr>
            <w:r w:rsidRPr="008C6087">
              <w:rPr>
                <w:rFonts w:ascii="Lato" w:hAnsi="Lato"/>
                <w:szCs w:val="22"/>
              </w:rPr>
              <w:t xml:space="preserve">Date of incorporation of the </w:t>
            </w:r>
            <w:r w:rsidR="003D0FCC" w:rsidRPr="008C6087">
              <w:rPr>
                <w:rFonts w:ascii="Lato" w:hAnsi="Lato"/>
                <w:szCs w:val="22"/>
              </w:rPr>
              <w:t>management company</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896A4A">
            <w:pPr>
              <w:spacing w:line="240" w:lineRule="auto"/>
              <w:rPr>
                <w:rFonts w:ascii="Lato" w:hAnsi="Lato"/>
                <w:szCs w:val="22"/>
              </w:rPr>
            </w:pPr>
          </w:p>
        </w:tc>
        <w:tc>
          <w:tcPr>
            <w:tcW w:w="6974"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6"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70" w:type="dxa"/>
            <w:gridSpan w:val="3"/>
            <w:tcBorders>
              <w:top w:val="nil"/>
              <w:left w:val="nil"/>
              <w:bottom w:val="nil"/>
              <w:right w:val="nil"/>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896A4A" w:rsidRPr="008C6087" w:rsidRDefault="00896A4A">
            <w:pPr>
              <w:spacing w:line="240" w:lineRule="auto"/>
              <w:rPr>
                <w:rFonts w:ascii="Lato" w:hAnsi="Lato"/>
                <w:szCs w:val="22"/>
              </w:rPr>
            </w:pPr>
          </w:p>
        </w:tc>
        <w:tc>
          <w:tcPr>
            <w:tcW w:w="238" w:type="dxa"/>
            <w:gridSpan w:val="2"/>
            <w:tcBorders>
              <w:top w:val="nil"/>
              <w:left w:val="nil"/>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96A4A" w:rsidRPr="008C6087" w:rsidRDefault="0053723C"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.7</w:t>
            </w:r>
          </w:p>
        </w:tc>
        <w:tc>
          <w:tcPr>
            <w:tcW w:w="6974" w:type="dxa"/>
            <w:gridSpan w:val="2"/>
            <w:tcBorders>
              <w:top w:val="nil"/>
              <w:left w:val="nil"/>
              <w:bottom w:val="nil"/>
              <w:right w:val="single" w:sz="4" w:space="0" w:color="auto"/>
            </w:tcBorders>
          </w:tcPr>
          <w:p w:rsidR="00896A4A" w:rsidRPr="008C6087" w:rsidRDefault="0053723C" w:rsidP="009420A8">
            <w:pPr>
              <w:spacing w:line="240" w:lineRule="auto"/>
              <w:rPr>
                <w:rFonts w:ascii="Lato" w:hAnsi="Lato"/>
                <w:szCs w:val="22"/>
              </w:rPr>
            </w:pPr>
            <w:r w:rsidRPr="008C6087">
              <w:rPr>
                <w:rFonts w:ascii="Lato" w:hAnsi="Lato"/>
                <w:szCs w:val="22"/>
              </w:rPr>
              <w:t xml:space="preserve">Indication of </w:t>
            </w:r>
            <w:r w:rsidR="009420A8" w:rsidRPr="008C6087">
              <w:rPr>
                <w:rFonts w:ascii="Lato" w:hAnsi="Lato"/>
                <w:szCs w:val="22"/>
              </w:rPr>
              <w:t>d</w:t>
            </w:r>
            <w:r w:rsidRPr="008C6087">
              <w:rPr>
                <w:rFonts w:ascii="Lato" w:hAnsi="Lato"/>
                <w:szCs w:val="22"/>
              </w:rPr>
              <w:t>uration, if limited</w:t>
            </w:r>
          </w:p>
        </w:tc>
        <w:tc>
          <w:tcPr>
            <w:tcW w:w="992"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96A4A" w:rsidRPr="008C6087" w:rsidRDefault="00896A4A">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96A4A" w:rsidRPr="008C6087" w:rsidRDefault="00896A4A">
            <w:pPr>
              <w:spacing w:line="240" w:lineRule="auto"/>
              <w:rPr>
                <w:rFonts w:ascii="Lato" w:hAnsi="Lato"/>
                <w:szCs w:val="22"/>
              </w:rPr>
            </w:pPr>
          </w:p>
        </w:tc>
        <w:tc>
          <w:tcPr>
            <w:tcW w:w="238" w:type="dxa"/>
            <w:gridSpan w:val="2"/>
            <w:tcBorders>
              <w:top w:val="nil"/>
              <w:left w:val="single" w:sz="4" w:space="0" w:color="auto"/>
              <w:bottom w:val="nil"/>
              <w:right w:val="nil"/>
            </w:tcBorders>
          </w:tcPr>
          <w:p w:rsidR="00896A4A" w:rsidRPr="008C6087" w:rsidRDefault="00896A4A">
            <w:pPr>
              <w:spacing w:line="240" w:lineRule="auto"/>
              <w:rPr>
                <w:rFonts w:ascii="Lato" w:hAnsi="Lato"/>
                <w:szCs w:val="22"/>
              </w:rPr>
            </w:pPr>
          </w:p>
        </w:tc>
        <w:tc>
          <w:tcPr>
            <w:tcW w:w="582" w:type="dxa"/>
            <w:gridSpan w:val="4"/>
            <w:tcBorders>
              <w:top w:val="nil"/>
              <w:left w:val="nil"/>
              <w:bottom w:val="nil"/>
              <w:right w:val="nil"/>
            </w:tcBorders>
          </w:tcPr>
          <w:p w:rsidR="00896A4A" w:rsidRPr="008C6087" w:rsidRDefault="00896A4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3086F" w:rsidRPr="008C6087" w:rsidRDefault="0093086F">
            <w:pPr>
              <w:spacing w:line="240" w:lineRule="auto"/>
              <w:rPr>
                <w:rFonts w:ascii="Lato" w:hAnsi="Lato"/>
                <w:szCs w:val="22"/>
              </w:rPr>
            </w:pPr>
          </w:p>
        </w:tc>
        <w:tc>
          <w:tcPr>
            <w:tcW w:w="6974"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992"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6"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703"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70" w:type="dxa"/>
            <w:gridSpan w:val="3"/>
            <w:tcBorders>
              <w:top w:val="nil"/>
              <w:left w:val="nil"/>
              <w:bottom w:val="nil"/>
              <w:right w:val="nil"/>
            </w:tcBorders>
          </w:tcPr>
          <w:p w:rsidR="0093086F" w:rsidRPr="008C6087" w:rsidRDefault="0093086F">
            <w:pPr>
              <w:spacing w:line="240" w:lineRule="auto"/>
              <w:rPr>
                <w:rFonts w:ascii="Lato" w:hAnsi="Lato"/>
                <w:szCs w:val="22"/>
              </w:rPr>
            </w:pPr>
          </w:p>
        </w:tc>
        <w:tc>
          <w:tcPr>
            <w:tcW w:w="455" w:type="dxa"/>
            <w:gridSpan w:val="2"/>
            <w:tcBorders>
              <w:top w:val="nil"/>
              <w:left w:val="nil"/>
              <w:bottom w:val="single" w:sz="4" w:space="0" w:color="auto"/>
              <w:right w:val="nil"/>
            </w:tcBorders>
          </w:tcPr>
          <w:p w:rsidR="0093086F" w:rsidRPr="008C6087" w:rsidRDefault="0093086F">
            <w:pPr>
              <w:spacing w:line="240" w:lineRule="auto"/>
              <w:rPr>
                <w:rFonts w:ascii="Lato" w:hAnsi="Lato"/>
                <w:szCs w:val="22"/>
              </w:rPr>
            </w:pPr>
          </w:p>
        </w:tc>
        <w:tc>
          <w:tcPr>
            <w:tcW w:w="238" w:type="dxa"/>
            <w:gridSpan w:val="2"/>
            <w:tcBorders>
              <w:top w:val="nil"/>
              <w:left w:val="nil"/>
              <w:bottom w:val="nil"/>
              <w:right w:val="nil"/>
            </w:tcBorders>
          </w:tcPr>
          <w:p w:rsidR="0093086F" w:rsidRPr="008C6087" w:rsidRDefault="0093086F">
            <w:pPr>
              <w:spacing w:line="240" w:lineRule="auto"/>
              <w:rPr>
                <w:rFonts w:ascii="Lato" w:hAnsi="Lato"/>
                <w:szCs w:val="22"/>
              </w:rPr>
            </w:pPr>
          </w:p>
        </w:tc>
        <w:tc>
          <w:tcPr>
            <w:tcW w:w="582" w:type="dxa"/>
            <w:gridSpan w:val="4"/>
            <w:tcBorders>
              <w:top w:val="nil"/>
              <w:left w:val="nil"/>
              <w:bottom w:val="nil"/>
              <w:right w:val="nil"/>
            </w:tcBorders>
          </w:tcPr>
          <w:p w:rsidR="0093086F" w:rsidRPr="008C6087" w:rsidRDefault="0093086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7</w:t>
            </w:r>
            <w:r w:rsidRPr="008C6087">
              <w:rPr>
                <w:rFonts w:ascii="Lato" w:hAnsi="Lato"/>
                <w:szCs w:val="22"/>
              </w:rPr>
              <w:t>.</w:t>
            </w:r>
            <w:r w:rsidR="003C3E16" w:rsidRPr="008C6087">
              <w:rPr>
                <w:rFonts w:ascii="Lato" w:hAnsi="Lato"/>
                <w:szCs w:val="22"/>
              </w:rPr>
              <w:t>8</w:t>
            </w:r>
          </w:p>
        </w:tc>
        <w:tc>
          <w:tcPr>
            <w:tcW w:w="6974" w:type="dxa"/>
            <w:gridSpan w:val="2"/>
            <w:tcBorders>
              <w:top w:val="nil"/>
              <w:left w:val="nil"/>
              <w:bottom w:val="nil"/>
              <w:right w:val="single" w:sz="4" w:space="0" w:color="auto"/>
            </w:tcBorders>
          </w:tcPr>
          <w:p w:rsidR="00877692" w:rsidRPr="008C6087" w:rsidRDefault="00A54337" w:rsidP="0093086F">
            <w:pPr>
              <w:spacing w:line="240" w:lineRule="auto"/>
              <w:rPr>
                <w:rFonts w:ascii="Lato" w:hAnsi="Lato"/>
                <w:szCs w:val="22"/>
              </w:rPr>
            </w:pPr>
            <w:r w:rsidRPr="008C6087">
              <w:rPr>
                <w:rFonts w:ascii="Lato" w:hAnsi="Lato"/>
                <w:szCs w:val="22"/>
              </w:rPr>
              <w:t xml:space="preserve">Disclose the amount of the prescribed capital of the </w:t>
            </w:r>
          </w:p>
        </w:tc>
        <w:tc>
          <w:tcPr>
            <w:tcW w:w="992"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70" w:type="dxa"/>
            <w:gridSpan w:val="3"/>
            <w:tcBorders>
              <w:top w:val="nil"/>
              <w:left w:val="single" w:sz="4" w:space="0" w:color="auto"/>
              <w:bottom w:val="nil"/>
              <w:right w:val="single" w:sz="4" w:space="0" w:color="auto"/>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877692" w:rsidRPr="008C6087" w:rsidRDefault="00877692">
            <w:pPr>
              <w:spacing w:line="240" w:lineRule="auto"/>
              <w:rPr>
                <w:rFonts w:ascii="Lato" w:hAnsi="Lato"/>
                <w:szCs w:val="22"/>
              </w:rPr>
            </w:pPr>
          </w:p>
        </w:tc>
        <w:tc>
          <w:tcPr>
            <w:tcW w:w="238" w:type="dxa"/>
            <w:gridSpan w:val="2"/>
            <w:tcBorders>
              <w:top w:val="nil"/>
              <w:left w:val="single" w:sz="4" w:space="0" w:color="auto"/>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93086F">
            <w:pPr>
              <w:spacing w:line="240" w:lineRule="auto"/>
              <w:rPr>
                <w:rFonts w:ascii="Lato" w:hAnsi="Lato"/>
                <w:szCs w:val="22"/>
              </w:rPr>
            </w:pPr>
            <w:r w:rsidRPr="008C6087">
              <w:rPr>
                <w:rFonts w:ascii="Lato" w:hAnsi="Lato"/>
                <w:szCs w:val="22"/>
              </w:rPr>
              <w:t>management company or general partner with an indication of the capital paid-up</w:t>
            </w:r>
          </w:p>
        </w:tc>
        <w:tc>
          <w:tcPr>
            <w:tcW w:w="992"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single" w:sz="4" w:space="0" w:color="auto"/>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877692" w:rsidRPr="008C6087" w:rsidRDefault="00877692">
            <w:pPr>
              <w:spacing w:line="240" w:lineRule="auto"/>
              <w:rPr>
                <w:rFonts w:ascii="Lato" w:hAnsi="Lato"/>
                <w:szCs w:val="22"/>
              </w:rPr>
            </w:pPr>
          </w:p>
        </w:tc>
        <w:tc>
          <w:tcPr>
            <w:tcW w:w="6974"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992"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6"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703"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70" w:type="dxa"/>
            <w:gridSpan w:val="3"/>
            <w:tcBorders>
              <w:top w:val="nil"/>
              <w:left w:val="nil"/>
              <w:bottom w:val="nil"/>
              <w:right w:val="nil"/>
            </w:tcBorders>
          </w:tcPr>
          <w:p w:rsidR="00877692" w:rsidRPr="008C6087" w:rsidRDefault="00877692">
            <w:pPr>
              <w:spacing w:line="240" w:lineRule="auto"/>
              <w:rPr>
                <w:rFonts w:ascii="Lato" w:hAnsi="Lato"/>
                <w:szCs w:val="22"/>
              </w:rPr>
            </w:pPr>
          </w:p>
        </w:tc>
        <w:tc>
          <w:tcPr>
            <w:tcW w:w="455"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238" w:type="dxa"/>
            <w:gridSpan w:val="2"/>
            <w:tcBorders>
              <w:top w:val="nil"/>
              <w:left w:val="nil"/>
              <w:bottom w:val="nil"/>
              <w:right w:val="nil"/>
            </w:tcBorders>
          </w:tcPr>
          <w:p w:rsidR="00877692" w:rsidRPr="008C6087" w:rsidRDefault="00877692">
            <w:pPr>
              <w:spacing w:line="240" w:lineRule="auto"/>
              <w:rPr>
                <w:rFonts w:ascii="Lato" w:hAnsi="Lato"/>
                <w:szCs w:val="22"/>
              </w:rPr>
            </w:pPr>
          </w:p>
        </w:tc>
        <w:tc>
          <w:tcPr>
            <w:tcW w:w="582" w:type="dxa"/>
            <w:gridSpan w:val="4"/>
            <w:tcBorders>
              <w:top w:val="nil"/>
              <w:left w:val="nil"/>
              <w:bottom w:val="nil"/>
              <w:right w:val="nil"/>
            </w:tcBorders>
          </w:tcPr>
          <w:p w:rsidR="00877692" w:rsidRPr="008C6087" w:rsidRDefault="00877692">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AD368F" w:rsidRPr="008C6087" w:rsidRDefault="00AD368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p>
        </w:tc>
        <w:tc>
          <w:tcPr>
            <w:tcW w:w="6974" w:type="dxa"/>
            <w:gridSpan w:val="2"/>
            <w:tcBorders>
              <w:top w:val="single" w:sz="4" w:space="0" w:color="auto"/>
              <w:left w:val="single" w:sz="4" w:space="0" w:color="auto"/>
              <w:bottom w:val="single" w:sz="4" w:space="0" w:color="auto"/>
              <w:right w:val="single" w:sz="4" w:space="0" w:color="auto"/>
            </w:tcBorders>
          </w:tcPr>
          <w:p w:rsidR="00AD368F" w:rsidRPr="008C6087" w:rsidRDefault="00AD368F" w:rsidP="003D0FCC">
            <w:pPr>
              <w:spacing w:line="240" w:lineRule="auto"/>
              <w:rPr>
                <w:rFonts w:ascii="Lato" w:hAnsi="Lato"/>
                <w:szCs w:val="22"/>
              </w:rPr>
            </w:pPr>
            <w:r w:rsidRPr="008C6087">
              <w:rPr>
                <w:rFonts w:ascii="Lato" w:hAnsi="Lato"/>
                <w:bCs/>
                <w:szCs w:val="22"/>
              </w:rPr>
              <w:t xml:space="preserve">Information concerning the </w:t>
            </w:r>
            <w:r w:rsidR="003D0FCC" w:rsidRPr="008C6087">
              <w:rPr>
                <w:rFonts w:ascii="Lato" w:hAnsi="Lato"/>
                <w:bCs/>
                <w:szCs w:val="22"/>
              </w:rPr>
              <w:t xml:space="preserve">investment manager </w:t>
            </w:r>
            <w:r w:rsidRPr="008C6087">
              <w:rPr>
                <w:rFonts w:ascii="Lato" w:hAnsi="Lato"/>
                <w:bCs/>
                <w:szCs w:val="22"/>
              </w:rPr>
              <w:t xml:space="preserve">and other </w:t>
            </w:r>
            <w:r w:rsidR="003D0FCC" w:rsidRPr="008C6087">
              <w:rPr>
                <w:rFonts w:ascii="Lato" w:hAnsi="Lato"/>
                <w:bCs/>
                <w:szCs w:val="22"/>
              </w:rPr>
              <w:t>service providers</w:t>
            </w:r>
          </w:p>
        </w:tc>
        <w:tc>
          <w:tcPr>
            <w:tcW w:w="992" w:type="dxa"/>
            <w:gridSpan w:val="2"/>
            <w:tcBorders>
              <w:top w:val="nil"/>
              <w:left w:val="single" w:sz="4" w:space="0" w:color="auto"/>
              <w:bottom w:val="nil"/>
              <w:right w:val="nil"/>
            </w:tcBorders>
          </w:tcPr>
          <w:p w:rsidR="00AD368F" w:rsidRPr="008C6087" w:rsidRDefault="00AD368F">
            <w:pPr>
              <w:spacing w:line="240" w:lineRule="auto"/>
              <w:rPr>
                <w:rFonts w:ascii="Lato" w:hAnsi="Lato"/>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709" w:type="dxa"/>
            <w:gridSpan w:val="3"/>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455" w:type="dxa"/>
            <w:gridSpan w:val="2"/>
            <w:tcBorders>
              <w:top w:val="nil"/>
              <w:left w:val="nil"/>
              <w:bottom w:val="nil"/>
              <w:right w:val="nil"/>
            </w:tcBorders>
          </w:tcPr>
          <w:p w:rsidR="00AD368F" w:rsidRPr="008C6087" w:rsidRDefault="00AD368F">
            <w:pPr>
              <w:spacing w:line="240" w:lineRule="auto"/>
              <w:rPr>
                <w:rFonts w:ascii="Lato" w:hAnsi="Lato"/>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Cs/>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single" w:sz="4" w:space="0" w:color="auto"/>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709" w:type="dxa"/>
            <w:gridSpan w:val="3"/>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c>
          <w:tcPr>
            <w:tcW w:w="455" w:type="dxa"/>
            <w:gridSpan w:val="2"/>
            <w:tcBorders>
              <w:top w:val="nil"/>
              <w:left w:val="nil"/>
              <w:bottom w:val="single" w:sz="4" w:space="0" w:color="auto"/>
              <w:right w:val="nil"/>
            </w:tcBorders>
          </w:tcPr>
          <w:p w:rsidR="00AD368F" w:rsidRPr="008C6087" w:rsidRDefault="00AD368F">
            <w:pPr>
              <w:spacing w:line="240" w:lineRule="auto"/>
              <w:rPr>
                <w:rFonts w:ascii="Lato" w:hAnsi="Lato"/>
                <w:b/>
                <w:bCs/>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.1</w:t>
            </w:r>
          </w:p>
        </w:tc>
        <w:tc>
          <w:tcPr>
            <w:tcW w:w="6974" w:type="dxa"/>
            <w:gridSpan w:val="2"/>
            <w:tcBorders>
              <w:top w:val="nil"/>
              <w:left w:val="nil"/>
              <w:bottom w:val="nil"/>
              <w:right w:val="single" w:sz="4" w:space="0" w:color="auto"/>
            </w:tcBorders>
          </w:tcPr>
          <w:p w:rsidR="00AD368F" w:rsidRPr="008C6087" w:rsidRDefault="00AD368F" w:rsidP="00AD368F">
            <w:pPr>
              <w:spacing w:line="240" w:lineRule="auto"/>
              <w:rPr>
                <w:rFonts w:ascii="Lato" w:hAnsi="Lato"/>
                <w:szCs w:val="22"/>
              </w:rPr>
            </w:pPr>
            <w:r w:rsidRPr="008C6087">
              <w:rPr>
                <w:rFonts w:ascii="Lato" w:hAnsi="Lato"/>
                <w:szCs w:val="22"/>
              </w:rPr>
              <w:t xml:space="preserve">Disclose details of the service providers to the </w:t>
            </w:r>
            <w:r w:rsidR="006C49ED" w:rsidRPr="008C6087">
              <w:rPr>
                <w:rFonts w:ascii="Lato" w:hAnsi="Lato"/>
                <w:szCs w:val="22"/>
              </w:rPr>
              <w:t>Retail Investor AIF</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b/>
                <w:bCs/>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b/>
                <w:bCs/>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b/>
                <w:bCs/>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b/>
                <w:bCs/>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.2</w:t>
            </w:r>
          </w:p>
        </w:tc>
        <w:tc>
          <w:tcPr>
            <w:tcW w:w="6974" w:type="dxa"/>
            <w:gridSpan w:val="2"/>
            <w:tcBorders>
              <w:top w:val="nil"/>
              <w:left w:val="nil"/>
              <w:bottom w:val="nil"/>
              <w:right w:val="single" w:sz="4" w:space="0" w:color="auto"/>
            </w:tcBorders>
          </w:tcPr>
          <w:p w:rsidR="00AD368F" w:rsidRPr="008C6087" w:rsidRDefault="00AD368F">
            <w:pPr>
              <w:spacing w:line="240" w:lineRule="auto"/>
              <w:rPr>
                <w:rFonts w:ascii="Lato" w:hAnsi="Lato"/>
                <w:szCs w:val="22"/>
              </w:rPr>
            </w:pPr>
            <w:r w:rsidRPr="008C6087">
              <w:rPr>
                <w:rFonts w:ascii="Lato" w:hAnsi="Lato"/>
                <w:szCs w:val="22"/>
              </w:rPr>
              <w:t>Name</w:t>
            </w:r>
          </w:p>
        </w:tc>
        <w:tc>
          <w:tcPr>
            <w:tcW w:w="992"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AD368F" w:rsidRPr="008C6087" w:rsidRDefault="00AD368F">
            <w:pPr>
              <w:spacing w:line="240" w:lineRule="auto"/>
              <w:rPr>
                <w:rFonts w:ascii="Lato" w:hAnsi="Lato"/>
                <w:szCs w:val="22"/>
              </w:rPr>
            </w:pPr>
          </w:p>
        </w:tc>
        <w:tc>
          <w:tcPr>
            <w:tcW w:w="264" w:type="dxa"/>
            <w:gridSpan w:val="4"/>
            <w:tcBorders>
              <w:top w:val="nil"/>
              <w:left w:val="single" w:sz="4" w:space="0" w:color="auto"/>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AD368F" w:rsidRPr="008C6087" w:rsidRDefault="00AD368F">
            <w:pPr>
              <w:spacing w:line="240" w:lineRule="auto"/>
              <w:rPr>
                <w:rFonts w:ascii="Lato" w:hAnsi="Lato"/>
                <w:szCs w:val="22"/>
              </w:rPr>
            </w:pPr>
          </w:p>
        </w:tc>
        <w:tc>
          <w:tcPr>
            <w:tcW w:w="697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36"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2"/>
            <w:tcBorders>
              <w:top w:val="nil"/>
              <w:left w:val="nil"/>
              <w:bottom w:val="nil"/>
              <w:right w:val="nil"/>
            </w:tcBorders>
          </w:tcPr>
          <w:p w:rsidR="00AD368F" w:rsidRPr="008C6087" w:rsidRDefault="00AD368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AD368F" w:rsidRPr="008C6087" w:rsidRDefault="00AD368F">
            <w:pPr>
              <w:spacing w:line="240" w:lineRule="auto"/>
              <w:rPr>
                <w:rFonts w:ascii="Lato" w:hAnsi="Lato"/>
                <w:szCs w:val="22"/>
              </w:rPr>
            </w:pPr>
          </w:p>
        </w:tc>
        <w:tc>
          <w:tcPr>
            <w:tcW w:w="264" w:type="dxa"/>
            <w:gridSpan w:val="4"/>
            <w:tcBorders>
              <w:top w:val="nil"/>
              <w:left w:val="nil"/>
              <w:bottom w:val="nil"/>
              <w:right w:val="nil"/>
            </w:tcBorders>
          </w:tcPr>
          <w:p w:rsidR="00AD368F" w:rsidRPr="008C6087" w:rsidRDefault="00AD368F">
            <w:pPr>
              <w:spacing w:line="240" w:lineRule="auto"/>
              <w:rPr>
                <w:rFonts w:ascii="Lato" w:hAnsi="Lato"/>
                <w:szCs w:val="22"/>
              </w:rPr>
            </w:pPr>
          </w:p>
        </w:tc>
        <w:tc>
          <w:tcPr>
            <w:tcW w:w="556" w:type="dxa"/>
            <w:gridSpan w:val="2"/>
            <w:tcBorders>
              <w:top w:val="nil"/>
              <w:left w:val="nil"/>
              <w:bottom w:val="nil"/>
              <w:right w:val="nil"/>
            </w:tcBorders>
          </w:tcPr>
          <w:p w:rsidR="00AD368F" w:rsidRPr="008C6087" w:rsidRDefault="00AD368F">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.3</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Address</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.4</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Main Activity</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.5</w:t>
            </w:r>
          </w:p>
        </w:tc>
        <w:tc>
          <w:tcPr>
            <w:tcW w:w="6974" w:type="dxa"/>
            <w:gridSpan w:val="2"/>
            <w:tcBorders>
              <w:top w:val="nil"/>
              <w:left w:val="nil"/>
              <w:bottom w:val="nil"/>
              <w:right w:val="single" w:sz="4" w:space="0" w:color="auto"/>
            </w:tcBorders>
          </w:tcPr>
          <w:p w:rsidR="00CE0866" w:rsidRPr="008C6087" w:rsidRDefault="003644B5" w:rsidP="00D92B51">
            <w:pPr>
              <w:spacing w:line="240" w:lineRule="auto"/>
              <w:rPr>
                <w:rFonts w:ascii="Lato" w:hAnsi="Lato"/>
                <w:szCs w:val="22"/>
              </w:rPr>
            </w:pPr>
            <w:r w:rsidRPr="008C6087">
              <w:rPr>
                <w:rFonts w:ascii="Lato" w:hAnsi="Lato"/>
                <w:szCs w:val="22"/>
              </w:rPr>
              <w:t>D</w:t>
            </w:r>
            <w:r w:rsidR="00CE0866" w:rsidRPr="008C6087">
              <w:rPr>
                <w:rFonts w:ascii="Lato" w:hAnsi="Lato"/>
                <w:szCs w:val="22"/>
              </w:rPr>
              <w:t xml:space="preserve">isclose the other </w:t>
            </w:r>
            <w:r w:rsidRPr="008C6087">
              <w:rPr>
                <w:rFonts w:ascii="Lato" w:hAnsi="Lato"/>
                <w:szCs w:val="22"/>
              </w:rPr>
              <w:t>significant activities</w:t>
            </w:r>
            <w:r w:rsidR="003D0FCC" w:rsidRPr="008C6087">
              <w:rPr>
                <w:rFonts w:ascii="Lato" w:hAnsi="Lato"/>
                <w:szCs w:val="22"/>
              </w:rPr>
              <w:t xml:space="preserve"> engaged in by the AIFM and</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3644B5" w:rsidP="003D0FCC">
            <w:pPr>
              <w:spacing w:line="240" w:lineRule="auto"/>
              <w:rPr>
                <w:rFonts w:ascii="Lato" w:hAnsi="Lato"/>
                <w:szCs w:val="22"/>
              </w:rPr>
            </w:pPr>
            <w:r w:rsidRPr="008C6087">
              <w:rPr>
                <w:rFonts w:ascii="Lato" w:hAnsi="Lato"/>
                <w:szCs w:val="22"/>
              </w:rPr>
              <w:t>any entity performing investment management functions on its behalf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992"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nil"/>
              <w:left w:val="nil"/>
              <w:bottom w:val="single" w:sz="4" w:space="0" w:color="auto"/>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.6</w:t>
            </w:r>
          </w:p>
        </w:tc>
        <w:tc>
          <w:tcPr>
            <w:tcW w:w="6974" w:type="dxa"/>
            <w:gridSpan w:val="2"/>
            <w:tcBorders>
              <w:top w:val="nil"/>
              <w:left w:val="nil"/>
              <w:bottom w:val="nil"/>
              <w:right w:val="single" w:sz="4" w:space="0" w:color="auto"/>
            </w:tcBorders>
          </w:tcPr>
          <w:p w:rsidR="00F2482E" w:rsidRPr="008C6087" w:rsidRDefault="00F2482E" w:rsidP="003644B5">
            <w:pPr>
              <w:spacing w:line="240" w:lineRule="auto"/>
              <w:rPr>
                <w:rFonts w:ascii="Lato" w:hAnsi="Lato"/>
                <w:szCs w:val="22"/>
              </w:rPr>
            </w:pPr>
            <w:r w:rsidRPr="008C6087">
              <w:rPr>
                <w:rFonts w:ascii="Lato" w:hAnsi="Lato"/>
                <w:szCs w:val="22"/>
              </w:rPr>
              <w:t xml:space="preserve">Disclose </w:t>
            </w:r>
            <w:r w:rsidR="003644B5" w:rsidRPr="008C6087">
              <w:rPr>
                <w:rFonts w:ascii="Lato" w:hAnsi="Lato"/>
                <w:szCs w:val="22"/>
              </w:rPr>
              <w:t xml:space="preserve">details of </w:t>
            </w:r>
            <w:r w:rsidRPr="008C6087">
              <w:rPr>
                <w:rFonts w:ascii="Lato" w:hAnsi="Lato"/>
                <w:szCs w:val="22"/>
              </w:rPr>
              <w:t xml:space="preserve">the investment adviser </w:t>
            </w:r>
            <w:r w:rsidR="003644B5" w:rsidRPr="008C6087">
              <w:rPr>
                <w:rFonts w:ascii="Lato" w:hAnsi="Lato"/>
                <w:szCs w:val="22"/>
              </w:rPr>
              <w:t>where</w:t>
            </w:r>
            <w:r w:rsidRPr="008C6087">
              <w:rPr>
                <w:rFonts w:ascii="Lato" w:hAnsi="Lato"/>
                <w:szCs w:val="22"/>
              </w:rPr>
              <w:t xml:space="preserve"> </w:t>
            </w:r>
            <w:r w:rsidR="003D0FCC" w:rsidRPr="008C6087">
              <w:rPr>
                <w:rFonts w:ascii="Lato" w:hAnsi="Lato"/>
                <w:szCs w:val="22"/>
              </w:rPr>
              <w:t>that adviser is</w:t>
            </w:r>
          </w:p>
        </w:tc>
        <w:tc>
          <w:tcPr>
            <w:tcW w:w="992"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2482E" w:rsidRPr="008C6087" w:rsidRDefault="00F2482E">
            <w:pPr>
              <w:spacing w:line="240" w:lineRule="auto"/>
              <w:rPr>
                <w:rFonts w:ascii="Lato" w:hAnsi="Lato"/>
                <w:szCs w:val="22"/>
              </w:rPr>
            </w:pPr>
          </w:p>
        </w:tc>
        <w:tc>
          <w:tcPr>
            <w:tcW w:w="264" w:type="dxa"/>
            <w:gridSpan w:val="4"/>
            <w:tcBorders>
              <w:top w:val="nil"/>
              <w:left w:val="single" w:sz="4" w:space="0" w:color="auto"/>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F2482E" w:rsidRPr="008C6087" w:rsidRDefault="00F2482E">
            <w:pPr>
              <w:spacing w:line="240" w:lineRule="auto"/>
              <w:rPr>
                <w:rFonts w:ascii="Lato" w:hAnsi="Lato"/>
                <w:szCs w:val="22"/>
              </w:rPr>
            </w:pPr>
          </w:p>
        </w:tc>
        <w:tc>
          <w:tcPr>
            <w:tcW w:w="6974" w:type="dxa"/>
            <w:gridSpan w:val="2"/>
            <w:tcBorders>
              <w:top w:val="nil"/>
              <w:left w:val="nil"/>
              <w:bottom w:val="nil"/>
              <w:right w:val="nil"/>
            </w:tcBorders>
          </w:tcPr>
          <w:p w:rsidR="00F2482E" w:rsidRPr="008C6087" w:rsidRDefault="003644B5">
            <w:pPr>
              <w:spacing w:line="240" w:lineRule="auto"/>
              <w:rPr>
                <w:rFonts w:ascii="Lato" w:hAnsi="Lato"/>
                <w:szCs w:val="22"/>
              </w:rPr>
            </w:pPr>
            <w:r w:rsidRPr="008C6087">
              <w:rPr>
                <w:rFonts w:ascii="Lato" w:hAnsi="Lato"/>
                <w:szCs w:val="22"/>
              </w:rPr>
              <w:t>appointed directly by the Retail Investor AIF</w:t>
            </w:r>
          </w:p>
        </w:tc>
        <w:tc>
          <w:tcPr>
            <w:tcW w:w="992"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36"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709" w:type="dxa"/>
            <w:gridSpan w:val="3"/>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2"/>
            <w:tcBorders>
              <w:top w:val="nil"/>
              <w:left w:val="nil"/>
              <w:bottom w:val="nil"/>
              <w:right w:val="nil"/>
            </w:tcBorders>
          </w:tcPr>
          <w:p w:rsidR="00F2482E" w:rsidRPr="008C6087" w:rsidRDefault="00F2482E">
            <w:pPr>
              <w:spacing w:line="240" w:lineRule="auto"/>
              <w:rPr>
                <w:rFonts w:ascii="Lato" w:hAnsi="Lato"/>
                <w:szCs w:val="22"/>
              </w:rPr>
            </w:pPr>
          </w:p>
        </w:tc>
        <w:tc>
          <w:tcPr>
            <w:tcW w:w="455" w:type="dxa"/>
            <w:gridSpan w:val="2"/>
            <w:tcBorders>
              <w:top w:val="single" w:sz="4" w:space="0" w:color="auto"/>
              <w:left w:val="nil"/>
              <w:bottom w:val="nil"/>
              <w:right w:val="nil"/>
            </w:tcBorders>
          </w:tcPr>
          <w:p w:rsidR="00F2482E" w:rsidRPr="008C6087" w:rsidRDefault="00F2482E">
            <w:pPr>
              <w:spacing w:line="240" w:lineRule="auto"/>
              <w:rPr>
                <w:rFonts w:ascii="Lato" w:hAnsi="Lato"/>
                <w:szCs w:val="22"/>
              </w:rPr>
            </w:pPr>
          </w:p>
        </w:tc>
        <w:tc>
          <w:tcPr>
            <w:tcW w:w="264" w:type="dxa"/>
            <w:gridSpan w:val="4"/>
            <w:tcBorders>
              <w:top w:val="nil"/>
              <w:left w:val="nil"/>
              <w:bottom w:val="nil"/>
              <w:right w:val="nil"/>
            </w:tcBorders>
          </w:tcPr>
          <w:p w:rsidR="00F2482E" w:rsidRPr="008C6087" w:rsidRDefault="00F2482E">
            <w:pPr>
              <w:spacing w:line="240" w:lineRule="auto"/>
              <w:rPr>
                <w:rFonts w:ascii="Lato" w:hAnsi="Lato"/>
                <w:szCs w:val="22"/>
              </w:rPr>
            </w:pPr>
          </w:p>
        </w:tc>
        <w:tc>
          <w:tcPr>
            <w:tcW w:w="556" w:type="dxa"/>
            <w:gridSpan w:val="2"/>
            <w:tcBorders>
              <w:top w:val="nil"/>
              <w:left w:val="nil"/>
              <w:bottom w:val="nil"/>
              <w:right w:val="nil"/>
            </w:tcBorders>
          </w:tcPr>
          <w:p w:rsidR="00F2482E" w:rsidRPr="008C6087" w:rsidRDefault="00F2482E">
            <w:pPr>
              <w:spacing w:line="240" w:lineRule="auto"/>
              <w:rPr>
                <w:rFonts w:ascii="Lato" w:hAnsi="Lato"/>
                <w:szCs w:val="22"/>
              </w:rPr>
            </w:pPr>
          </w:p>
        </w:tc>
      </w:tr>
      <w:tr w:rsidR="00FE342F" w:rsidRPr="008C6087" w:rsidTr="00E2618B">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Delegation</w:t>
            </w: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.7</w:t>
            </w:r>
          </w:p>
        </w:tc>
        <w:tc>
          <w:tcPr>
            <w:tcW w:w="6974" w:type="dxa"/>
            <w:gridSpan w:val="2"/>
            <w:tcBorders>
              <w:top w:val="nil"/>
              <w:left w:val="nil"/>
              <w:bottom w:val="nil"/>
              <w:right w:val="single" w:sz="4" w:space="0" w:color="auto"/>
            </w:tcBorders>
          </w:tcPr>
          <w:p w:rsidR="00FE342F" w:rsidRPr="008C6087" w:rsidRDefault="00FE342F" w:rsidP="002A62A4">
            <w:pPr>
              <w:spacing w:line="240" w:lineRule="auto"/>
              <w:rPr>
                <w:rFonts w:ascii="Lato" w:hAnsi="Lato"/>
                <w:szCs w:val="22"/>
              </w:rPr>
            </w:pPr>
            <w:r w:rsidRPr="008C6087">
              <w:rPr>
                <w:rFonts w:ascii="Lato" w:hAnsi="Lato"/>
                <w:szCs w:val="22"/>
              </w:rPr>
              <w:t xml:space="preserve">Insert a description of any delegated management function as referred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317A44" w:rsidP="00FE342F">
            <w:pPr>
              <w:spacing w:line="240" w:lineRule="auto"/>
              <w:rPr>
                <w:rFonts w:ascii="Lato" w:hAnsi="Lato"/>
                <w:szCs w:val="22"/>
              </w:rPr>
            </w:pPr>
            <w:r w:rsidRPr="00366D5D">
              <w:rPr>
                <w:rFonts w:ascii="Lato" w:hAnsi="Lato"/>
                <w:szCs w:val="22"/>
              </w:rPr>
              <w:t>to</w:t>
            </w:r>
            <w:r w:rsidRPr="002A62A4">
              <w:rPr>
                <w:rFonts w:ascii="Lato" w:hAnsi="Lato"/>
                <w:szCs w:val="22"/>
              </w:rPr>
              <w:t xml:space="preserve"> </w:t>
            </w:r>
            <w:r w:rsidR="00FE342F" w:rsidRPr="008C6087">
              <w:rPr>
                <w:rFonts w:ascii="Lato" w:hAnsi="Lato"/>
                <w:szCs w:val="22"/>
              </w:rPr>
              <w:t>in the AIFMD Regulations by the AIFM</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992"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nil"/>
              <w:left w:val="nil"/>
              <w:bottom w:val="single" w:sz="4" w:space="0" w:color="auto"/>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8</w:t>
            </w:r>
            <w:r w:rsidRPr="008C6087">
              <w:rPr>
                <w:rFonts w:ascii="Lato" w:hAnsi="Lato"/>
                <w:szCs w:val="22"/>
              </w:rPr>
              <w:t>.8</w:t>
            </w:r>
          </w:p>
        </w:tc>
        <w:tc>
          <w:tcPr>
            <w:tcW w:w="6974" w:type="dxa"/>
            <w:gridSpan w:val="2"/>
            <w:tcBorders>
              <w:top w:val="nil"/>
              <w:left w:val="nil"/>
              <w:bottom w:val="nil"/>
              <w:right w:val="single" w:sz="4" w:space="0" w:color="auto"/>
            </w:tcBorders>
          </w:tcPr>
          <w:p w:rsidR="00FE342F" w:rsidRPr="008C6087" w:rsidRDefault="00FE342F" w:rsidP="00FE342F">
            <w:pPr>
              <w:spacing w:line="240" w:lineRule="auto"/>
              <w:rPr>
                <w:rFonts w:ascii="Lato" w:hAnsi="Lato"/>
                <w:szCs w:val="22"/>
              </w:rPr>
            </w:pPr>
            <w:r w:rsidRPr="008C6087">
              <w:rPr>
                <w:rFonts w:ascii="Lato" w:hAnsi="Lato"/>
                <w:szCs w:val="22"/>
              </w:rPr>
              <w:t xml:space="preserve">Insert a description of any safe-keeping function delegated by the </w:t>
            </w:r>
          </w:p>
        </w:tc>
        <w:tc>
          <w:tcPr>
            <w:tcW w:w="992"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FE342F" w:rsidRPr="008C6087" w:rsidRDefault="00FE342F">
            <w:pPr>
              <w:spacing w:line="240" w:lineRule="auto"/>
              <w:rPr>
                <w:rFonts w:ascii="Lato" w:hAnsi="Lato"/>
                <w:szCs w:val="22"/>
              </w:rPr>
            </w:pPr>
          </w:p>
        </w:tc>
        <w:tc>
          <w:tcPr>
            <w:tcW w:w="264" w:type="dxa"/>
            <w:gridSpan w:val="4"/>
            <w:tcBorders>
              <w:top w:val="nil"/>
              <w:left w:val="single" w:sz="4" w:space="0" w:color="auto"/>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E342F" w:rsidRPr="008C6087" w:rsidTr="008C6087">
        <w:trPr>
          <w:gridAfter w:val="2"/>
          <w:wAfter w:w="3800" w:type="dxa"/>
        </w:trPr>
        <w:tc>
          <w:tcPr>
            <w:tcW w:w="1107" w:type="dxa"/>
            <w:tcBorders>
              <w:top w:val="nil"/>
              <w:left w:val="nil"/>
              <w:bottom w:val="nil"/>
              <w:right w:val="nil"/>
            </w:tcBorders>
          </w:tcPr>
          <w:p w:rsidR="00FE342F" w:rsidRPr="008C6087" w:rsidRDefault="00FE342F">
            <w:pPr>
              <w:spacing w:line="240" w:lineRule="auto"/>
              <w:rPr>
                <w:rFonts w:ascii="Lato" w:hAnsi="Lato"/>
                <w:szCs w:val="22"/>
              </w:rPr>
            </w:pPr>
          </w:p>
        </w:tc>
        <w:tc>
          <w:tcPr>
            <w:tcW w:w="6974" w:type="dxa"/>
            <w:gridSpan w:val="2"/>
            <w:tcBorders>
              <w:top w:val="nil"/>
              <w:left w:val="nil"/>
              <w:bottom w:val="nil"/>
              <w:right w:val="nil"/>
            </w:tcBorders>
          </w:tcPr>
          <w:p w:rsidR="00FE342F" w:rsidRPr="008C6087" w:rsidRDefault="00FE342F">
            <w:pPr>
              <w:spacing w:line="240" w:lineRule="auto"/>
              <w:rPr>
                <w:rFonts w:ascii="Lato" w:hAnsi="Lato"/>
                <w:szCs w:val="22"/>
              </w:rPr>
            </w:pPr>
            <w:r w:rsidRPr="008C6087">
              <w:rPr>
                <w:rFonts w:ascii="Lato" w:hAnsi="Lato"/>
                <w:szCs w:val="22"/>
              </w:rPr>
              <w:t>depositary, the identification of the delegate and any conflicts of interest that may arise from such delegations</w:t>
            </w:r>
          </w:p>
        </w:tc>
        <w:tc>
          <w:tcPr>
            <w:tcW w:w="992"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36"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709" w:type="dxa"/>
            <w:gridSpan w:val="3"/>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2"/>
            <w:tcBorders>
              <w:top w:val="nil"/>
              <w:left w:val="nil"/>
              <w:bottom w:val="nil"/>
              <w:right w:val="nil"/>
            </w:tcBorders>
          </w:tcPr>
          <w:p w:rsidR="00FE342F" w:rsidRPr="008C6087" w:rsidRDefault="00FE342F">
            <w:pPr>
              <w:spacing w:line="240" w:lineRule="auto"/>
              <w:rPr>
                <w:rFonts w:ascii="Lato" w:hAnsi="Lato"/>
                <w:szCs w:val="22"/>
              </w:rPr>
            </w:pPr>
          </w:p>
        </w:tc>
        <w:tc>
          <w:tcPr>
            <w:tcW w:w="455" w:type="dxa"/>
            <w:gridSpan w:val="2"/>
            <w:tcBorders>
              <w:top w:val="single" w:sz="4" w:space="0" w:color="auto"/>
              <w:left w:val="nil"/>
              <w:bottom w:val="nil"/>
              <w:right w:val="nil"/>
            </w:tcBorders>
          </w:tcPr>
          <w:p w:rsidR="00FE342F" w:rsidRPr="008C6087" w:rsidRDefault="00FE342F">
            <w:pPr>
              <w:spacing w:line="240" w:lineRule="auto"/>
              <w:rPr>
                <w:rFonts w:ascii="Lato" w:hAnsi="Lato"/>
                <w:szCs w:val="22"/>
              </w:rPr>
            </w:pPr>
          </w:p>
        </w:tc>
        <w:tc>
          <w:tcPr>
            <w:tcW w:w="264" w:type="dxa"/>
            <w:gridSpan w:val="4"/>
            <w:tcBorders>
              <w:top w:val="nil"/>
              <w:left w:val="nil"/>
              <w:bottom w:val="nil"/>
              <w:right w:val="nil"/>
            </w:tcBorders>
          </w:tcPr>
          <w:p w:rsidR="00FE342F" w:rsidRPr="008C6087" w:rsidRDefault="00FE342F">
            <w:pPr>
              <w:spacing w:line="240" w:lineRule="auto"/>
              <w:rPr>
                <w:rFonts w:ascii="Lato" w:hAnsi="Lato"/>
                <w:szCs w:val="22"/>
              </w:rPr>
            </w:pPr>
          </w:p>
        </w:tc>
        <w:tc>
          <w:tcPr>
            <w:tcW w:w="556" w:type="dxa"/>
            <w:gridSpan w:val="2"/>
            <w:tcBorders>
              <w:top w:val="nil"/>
              <w:left w:val="nil"/>
              <w:bottom w:val="nil"/>
              <w:right w:val="nil"/>
            </w:tcBorders>
          </w:tcPr>
          <w:p w:rsidR="00FE342F" w:rsidRPr="008C6087" w:rsidRDefault="00FE342F">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single" w:sz="4" w:space="0" w:color="auto"/>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p>
        </w:tc>
        <w:tc>
          <w:tcPr>
            <w:tcW w:w="6974"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pStyle w:val="Heading1"/>
              <w:spacing w:before="0" w:after="0" w:line="240" w:lineRule="auto"/>
              <w:rPr>
                <w:rFonts w:ascii="Lato" w:hAnsi="Lato"/>
                <w:color w:val="auto"/>
                <w:sz w:val="22"/>
                <w:szCs w:val="22"/>
              </w:rPr>
            </w:pPr>
            <w:r w:rsidRPr="008C6087">
              <w:rPr>
                <w:rFonts w:ascii="Lato" w:hAnsi="Lato"/>
                <w:color w:val="auto"/>
                <w:sz w:val="22"/>
                <w:szCs w:val="22"/>
              </w:rPr>
              <w:t>Material Contracts</w:t>
            </w:r>
          </w:p>
        </w:tc>
        <w:tc>
          <w:tcPr>
            <w:tcW w:w="992" w:type="dxa"/>
            <w:gridSpan w:val="2"/>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46"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574"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single" w:sz="4" w:space="0" w:color="auto"/>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.1</w:t>
            </w:r>
          </w:p>
        </w:tc>
        <w:tc>
          <w:tcPr>
            <w:tcW w:w="6974" w:type="dxa"/>
            <w:gridSpan w:val="2"/>
            <w:tcBorders>
              <w:top w:val="single" w:sz="4" w:space="0" w:color="auto"/>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Disclose the material provisions of the contracts between</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3D0FCC">
            <w:pPr>
              <w:spacing w:line="240" w:lineRule="auto"/>
              <w:rPr>
                <w:rFonts w:ascii="Lato" w:hAnsi="Lato"/>
                <w:szCs w:val="22"/>
              </w:rPr>
            </w:pPr>
            <w:r w:rsidRPr="008C6087">
              <w:rPr>
                <w:rFonts w:ascii="Lato" w:hAnsi="Lato"/>
                <w:szCs w:val="22"/>
              </w:rPr>
              <w:t>third parties and the management company, general partner</w:t>
            </w:r>
            <w:r w:rsidR="00E60C57" w:rsidRPr="008C6087">
              <w:rPr>
                <w:rFonts w:ascii="Lato" w:hAnsi="Lato"/>
                <w:szCs w:val="22"/>
              </w:rPr>
              <w:t>, ICAV</w:t>
            </w:r>
            <w:r w:rsidRPr="008C6087">
              <w:rPr>
                <w:rFonts w:ascii="Lato" w:hAnsi="Lato"/>
                <w:szCs w:val="22"/>
              </w:rPr>
              <w:t xml:space="preserve">or investment company which may be relevant to unitholders.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.2</w:t>
            </w:r>
          </w:p>
        </w:tc>
        <w:tc>
          <w:tcPr>
            <w:tcW w:w="6974" w:type="dxa"/>
            <w:gridSpan w:val="2"/>
            <w:tcBorders>
              <w:top w:val="nil"/>
              <w:left w:val="nil"/>
              <w:bottom w:val="nil"/>
              <w:right w:val="single" w:sz="4" w:space="0" w:color="auto"/>
            </w:tcBorders>
          </w:tcPr>
          <w:p w:rsidR="003C4584" w:rsidRPr="008C6087" w:rsidRDefault="003C4584" w:rsidP="003C4584">
            <w:pPr>
              <w:spacing w:line="240" w:lineRule="auto"/>
              <w:rPr>
                <w:rFonts w:ascii="Lato" w:hAnsi="Lato"/>
                <w:szCs w:val="22"/>
              </w:rPr>
            </w:pPr>
            <w:r w:rsidRPr="008C6087">
              <w:rPr>
                <w:rFonts w:ascii="Lato" w:hAnsi="Lato"/>
                <w:szCs w:val="22"/>
              </w:rPr>
              <w:t xml:space="preserve">Insert a description of the main legal implications of the contractual </w:t>
            </w:r>
          </w:p>
        </w:tc>
        <w:tc>
          <w:tcPr>
            <w:tcW w:w="992"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C4584" w:rsidRPr="008C6087" w:rsidRDefault="003C4584"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8C6087">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3D0FCC">
            <w:pPr>
              <w:spacing w:line="240" w:lineRule="auto"/>
              <w:jc w:val="both"/>
              <w:rPr>
                <w:rFonts w:ascii="Lato" w:hAnsi="Lato"/>
                <w:szCs w:val="22"/>
              </w:rPr>
            </w:pPr>
            <w:r w:rsidRPr="008C6087">
              <w:rPr>
                <w:rFonts w:ascii="Lato" w:hAnsi="Lato"/>
                <w:szCs w:val="22"/>
              </w:rPr>
              <w:t xml:space="preserve">relationship entered into for the purpose of investment, including information on jurisdiction, on the applicable law and on the existence or not of any legal instruments providing for the recognition and enforcement of judgments in the territory where the </w:t>
            </w:r>
            <w:r w:rsidR="003D0FCC" w:rsidRPr="008C6087">
              <w:rPr>
                <w:rFonts w:ascii="Lato" w:hAnsi="Lato"/>
                <w:szCs w:val="22"/>
              </w:rPr>
              <w:t xml:space="preserve">Retail Investor </w:t>
            </w:r>
            <w:r w:rsidRPr="008C6087">
              <w:rPr>
                <w:rFonts w:ascii="Lato" w:hAnsi="Lato"/>
                <w:szCs w:val="22"/>
              </w:rPr>
              <w:t>AIF is established</w:t>
            </w:r>
          </w:p>
        </w:tc>
        <w:tc>
          <w:tcPr>
            <w:tcW w:w="992"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3C4584" w:rsidRPr="008C6087" w:rsidTr="00E2618B">
        <w:trPr>
          <w:gridAfter w:val="2"/>
          <w:wAfter w:w="3800" w:type="dxa"/>
        </w:trPr>
        <w:tc>
          <w:tcPr>
            <w:tcW w:w="1107" w:type="dxa"/>
            <w:tcBorders>
              <w:top w:val="nil"/>
              <w:left w:val="nil"/>
              <w:bottom w:val="nil"/>
              <w:right w:val="nil"/>
            </w:tcBorders>
          </w:tcPr>
          <w:p w:rsidR="003C4584" w:rsidRPr="008C6087" w:rsidRDefault="003C4584" w:rsidP="009F373B">
            <w:pPr>
              <w:spacing w:line="240" w:lineRule="auto"/>
              <w:jc w:val="right"/>
              <w:rPr>
                <w:rFonts w:ascii="Lato" w:hAnsi="Lato"/>
                <w:szCs w:val="22"/>
              </w:rPr>
            </w:pPr>
          </w:p>
        </w:tc>
        <w:tc>
          <w:tcPr>
            <w:tcW w:w="697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992"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3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709" w:type="dxa"/>
            <w:gridSpan w:val="3"/>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455"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c>
          <w:tcPr>
            <w:tcW w:w="264" w:type="dxa"/>
            <w:gridSpan w:val="4"/>
            <w:tcBorders>
              <w:top w:val="nil"/>
              <w:left w:val="nil"/>
              <w:bottom w:val="nil"/>
              <w:right w:val="nil"/>
            </w:tcBorders>
          </w:tcPr>
          <w:p w:rsidR="003C4584" w:rsidRPr="008C6087" w:rsidRDefault="003C4584" w:rsidP="009F373B">
            <w:pPr>
              <w:spacing w:line="240" w:lineRule="auto"/>
              <w:rPr>
                <w:rFonts w:ascii="Lato" w:hAnsi="Lato"/>
                <w:szCs w:val="22"/>
              </w:rPr>
            </w:pPr>
          </w:p>
        </w:tc>
        <w:tc>
          <w:tcPr>
            <w:tcW w:w="556" w:type="dxa"/>
            <w:gridSpan w:val="2"/>
            <w:tcBorders>
              <w:top w:val="nil"/>
              <w:left w:val="nil"/>
              <w:bottom w:val="nil"/>
              <w:right w:val="nil"/>
            </w:tcBorders>
          </w:tcPr>
          <w:p w:rsidR="003C4584" w:rsidRPr="008C6087" w:rsidRDefault="003C4584"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9</w:t>
            </w:r>
            <w:r w:rsidRPr="008C6087">
              <w:rPr>
                <w:rFonts w:ascii="Lato" w:hAnsi="Lato"/>
                <w:szCs w:val="22"/>
              </w:rPr>
              <w:t>.</w:t>
            </w:r>
            <w:r w:rsidR="003C4584" w:rsidRPr="008C6087">
              <w:rPr>
                <w:rFonts w:ascii="Lato" w:hAnsi="Lato"/>
                <w:szCs w:val="22"/>
              </w:rPr>
              <w:t>3</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Paying Agents/Distributors </w:t>
            </w:r>
          </w:p>
        </w:tc>
        <w:tc>
          <w:tcPr>
            <w:tcW w:w="992"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Where appointment may be required by local regulations in EEA  countries, provide that</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Local regulations in EEA countries may require the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appointment of paying agents and maintenance of accounts by such agents through which subscriptions and redemption monies may be paid; and</w:t>
            </w:r>
          </w:p>
        </w:tc>
        <w:tc>
          <w:tcPr>
            <w:tcW w:w="992"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Investors who choose or are obliged under local regulations </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 xml:space="preserve">to pay/receive subscription/redemption monies via an intermediary entity rather than directly to the </w:t>
            </w:r>
            <w:r w:rsidR="00EF4BC6" w:rsidRPr="008C6087">
              <w:rPr>
                <w:rFonts w:ascii="Lato" w:hAnsi="Lato"/>
                <w:szCs w:val="22"/>
              </w:rPr>
              <w:t xml:space="preserve">depositary </w:t>
            </w:r>
            <w:r w:rsidRPr="008C6087">
              <w:rPr>
                <w:rFonts w:ascii="Lato" w:hAnsi="Lato"/>
                <w:szCs w:val="22"/>
              </w:rPr>
              <w:t xml:space="preserve">of the </w:t>
            </w:r>
            <w:r w:rsidR="00EF4BC6" w:rsidRPr="008C6087">
              <w:rPr>
                <w:rFonts w:ascii="Lato" w:hAnsi="Lato"/>
                <w:szCs w:val="22"/>
              </w:rPr>
              <w:t>Retail Investor AIF</w:t>
            </w:r>
            <w:r w:rsidRPr="008C6087">
              <w:rPr>
                <w:rFonts w:ascii="Lato" w:hAnsi="Lato"/>
                <w:szCs w:val="22"/>
              </w:rPr>
              <w:t xml:space="preserve"> (e.g. a sub-distributor or agent in the local jurisdiction) bear a credit risk against that intermediate entity with respect to</w:t>
            </w:r>
          </w:p>
          <w:p w:rsidR="009F373B" w:rsidRPr="008C6087" w:rsidRDefault="009F373B" w:rsidP="009F373B">
            <w:pPr>
              <w:numPr>
                <w:ilvl w:val="0"/>
                <w:numId w:val="2"/>
              </w:numPr>
              <w:spacing w:line="240" w:lineRule="auto"/>
              <w:rPr>
                <w:rFonts w:ascii="Lato" w:hAnsi="Lato"/>
                <w:szCs w:val="22"/>
              </w:rPr>
            </w:pPr>
            <w:r w:rsidRPr="008C6087">
              <w:rPr>
                <w:rFonts w:ascii="Lato" w:hAnsi="Lato"/>
                <w:szCs w:val="22"/>
              </w:rPr>
              <w:t xml:space="preserve">subscription monies prior to the transmission of such monies to the </w:t>
            </w:r>
            <w:r w:rsidR="00EF4BC6" w:rsidRPr="008C6087">
              <w:rPr>
                <w:rFonts w:ascii="Lato" w:hAnsi="Lato"/>
                <w:szCs w:val="22"/>
              </w:rPr>
              <w:t xml:space="preserve">depositary </w:t>
            </w:r>
            <w:r w:rsidRPr="008C6087">
              <w:rPr>
                <w:rFonts w:ascii="Lato" w:hAnsi="Lato"/>
                <w:szCs w:val="22"/>
              </w:rPr>
              <w:t xml:space="preserve">for the account of the </w:t>
            </w:r>
            <w:r w:rsidR="00EF4BC6" w:rsidRPr="008C6087">
              <w:rPr>
                <w:rFonts w:ascii="Lato" w:hAnsi="Lato"/>
                <w:szCs w:val="22"/>
              </w:rPr>
              <w:t>Retail Investor AIF;</w:t>
            </w:r>
            <w:r w:rsidRPr="008C6087">
              <w:rPr>
                <w:rFonts w:ascii="Lato" w:hAnsi="Lato"/>
                <w:szCs w:val="22"/>
              </w:rPr>
              <w:t xml:space="preserve"> </w:t>
            </w:r>
          </w:p>
          <w:p w:rsidR="009F373B" w:rsidRPr="008C6087" w:rsidRDefault="009F373B" w:rsidP="00EF4BC6">
            <w:pPr>
              <w:numPr>
                <w:ilvl w:val="0"/>
                <w:numId w:val="2"/>
              </w:numPr>
              <w:spacing w:line="240" w:lineRule="auto"/>
              <w:rPr>
                <w:rFonts w:ascii="Lato" w:hAnsi="Lato"/>
                <w:szCs w:val="22"/>
              </w:rPr>
            </w:pPr>
            <w:r w:rsidRPr="008C6087">
              <w:rPr>
                <w:rFonts w:ascii="Lato" w:hAnsi="Lato"/>
                <w:szCs w:val="22"/>
              </w:rPr>
              <w:t xml:space="preserve">redemption monies payable by such intermediate entity to the relevant investor; </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EF4BC6" w:rsidP="009F373B">
            <w:pPr>
              <w:spacing w:line="240" w:lineRule="auto"/>
              <w:rPr>
                <w:rFonts w:ascii="Lato" w:hAnsi="Lato"/>
                <w:szCs w:val="22"/>
              </w:rPr>
            </w:pPr>
            <w:r w:rsidRPr="008C6087">
              <w:rPr>
                <w:rFonts w:ascii="Lato" w:hAnsi="Lato"/>
                <w:szCs w:val="22"/>
              </w:rPr>
              <w:t>and</w:t>
            </w: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 xml:space="preserve">fees of sub-distributors and paying agents will be borne by </w:t>
            </w:r>
            <w:r w:rsidR="00B7175D" w:rsidRPr="008C6087">
              <w:rPr>
                <w:rFonts w:ascii="Lato" w:hAnsi="Lato"/>
                <w:szCs w:val="22"/>
              </w:rPr>
              <w:t>the Retail</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I</w:t>
            </w:r>
            <w:r w:rsidR="00934F55" w:rsidRPr="008C6087">
              <w:rPr>
                <w:rFonts w:ascii="Lato" w:hAnsi="Lato"/>
                <w:szCs w:val="22"/>
              </w:rPr>
              <w:t xml:space="preserve">nvestor </w:t>
            </w:r>
            <w:r w:rsidRPr="008C6087">
              <w:rPr>
                <w:rFonts w:ascii="Lato" w:hAnsi="Lato"/>
                <w:szCs w:val="22"/>
              </w:rPr>
              <w:t>AIF</w:t>
            </w:r>
          </w:p>
        </w:tc>
        <w:tc>
          <w:tcPr>
            <w:tcW w:w="992"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nil"/>
              <w:bottom w:val="nil"/>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992"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709" w:type="dxa"/>
            <w:gridSpan w:val="3"/>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c>
          <w:tcPr>
            <w:tcW w:w="455" w:type="dxa"/>
            <w:gridSpan w:val="2"/>
            <w:tcBorders>
              <w:top w:val="nil"/>
              <w:left w:val="nil"/>
              <w:bottom w:val="single" w:sz="4" w:space="0" w:color="auto"/>
              <w:right w:val="nil"/>
            </w:tcBorders>
          </w:tcPr>
          <w:p w:rsidR="009F373B" w:rsidRPr="008C6087" w:rsidRDefault="009F373B" w:rsidP="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9F373B" w:rsidRPr="008C6087" w:rsidRDefault="009F373B" w:rsidP="009F373B">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9F373B" w:rsidRPr="008C6087" w:rsidRDefault="009F373B" w:rsidP="009F373B">
            <w:pPr>
              <w:spacing w:line="240" w:lineRule="auto"/>
              <w:rPr>
                <w:rFonts w:ascii="Lato" w:hAnsi="Lato"/>
                <w:szCs w:val="22"/>
              </w:rPr>
            </w:pPr>
            <w:r w:rsidRPr="008C6087">
              <w:rPr>
                <w:rFonts w:ascii="Lato" w:hAnsi="Lato"/>
                <w:szCs w:val="22"/>
              </w:rPr>
              <w:t>If applicable, indicate the intention to appoint a distributor</w:t>
            </w:r>
          </w:p>
        </w:tc>
        <w:tc>
          <w:tcPr>
            <w:tcW w:w="992"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9F373B" w:rsidRPr="008C6087" w:rsidRDefault="009F373B" w:rsidP="009F373B">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9F373B" w:rsidRPr="008C6087" w:rsidRDefault="009F373B" w:rsidP="009F373B">
            <w:pPr>
              <w:spacing w:line="240" w:lineRule="auto"/>
              <w:rPr>
                <w:rFonts w:ascii="Lato" w:hAnsi="Lato"/>
                <w:szCs w:val="22"/>
              </w:rPr>
            </w:pPr>
          </w:p>
        </w:tc>
        <w:tc>
          <w:tcPr>
            <w:tcW w:w="264" w:type="dxa"/>
            <w:gridSpan w:val="4"/>
            <w:tcBorders>
              <w:top w:val="nil"/>
              <w:left w:val="single" w:sz="4" w:space="0" w:color="auto"/>
              <w:bottom w:val="nil"/>
              <w:right w:val="nil"/>
            </w:tcBorders>
          </w:tcPr>
          <w:p w:rsidR="009F373B" w:rsidRPr="008C6087" w:rsidRDefault="009F373B" w:rsidP="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rsidP="009F373B">
            <w:pPr>
              <w:spacing w:line="240" w:lineRule="auto"/>
              <w:rPr>
                <w:rFonts w:ascii="Lato" w:hAnsi="Lato"/>
                <w:szCs w:val="22"/>
              </w:rPr>
            </w:pPr>
          </w:p>
        </w:tc>
      </w:tr>
      <w:tr w:rsidR="00FB497D" w:rsidRPr="008C6087" w:rsidTr="00E2618B">
        <w:trPr>
          <w:gridAfter w:val="2"/>
          <w:wAfter w:w="3800" w:type="dxa"/>
        </w:trPr>
        <w:tc>
          <w:tcPr>
            <w:tcW w:w="1107" w:type="dxa"/>
            <w:tcBorders>
              <w:top w:val="nil"/>
              <w:left w:val="nil"/>
              <w:bottom w:val="nil"/>
              <w:right w:val="nil"/>
            </w:tcBorders>
          </w:tcPr>
          <w:p w:rsidR="009F373B" w:rsidRPr="008C6087" w:rsidRDefault="009F373B">
            <w:pPr>
              <w:spacing w:line="240" w:lineRule="auto"/>
              <w:rPr>
                <w:rFonts w:ascii="Lato" w:hAnsi="Lato"/>
                <w:szCs w:val="22"/>
              </w:rPr>
            </w:pPr>
          </w:p>
        </w:tc>
        <w:tc>
          <w:tcPr>
            <w:tcW w:w="697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992"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36"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709" w:type="dxa"/>
            <w:gridSpan w:val="3"/>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455" w:type="dxa"/>
            <w:gridSpan w:val="2"/>
            <w:tcBorders>
              <w:top w:val="nil"/>
              <w:left w:val="nil"/>
              <w:bottom w:val="nil"/>
              <w:right w:val="nil"/>
            </w:tcBorders>
          </w:tcPr>
          <w:p w:rsidR="009F373B" w:rsidRPr="008C6087" w:rsidRDefault="009F373B">
            <w:pPr>
              <w:spacing w:line="240" w:lineRule="auto"/>
              <w:rPr>
                <w:rFonts w:ascii="Lato" w:hAnsi="Lato"/>
                <w:szCs w:val="22"/>
              </w:rPr>
            </w:pPr>
          </w:p>
        </w:tc>
        <w:tc>
          <w:tcPr>
            <w:tcW w:w="264" w:type="dxa"/>
            <w:gridSpan w:val="4"/>
            <w:tcBorders>
              <w:top w:val="nil"/>
              <w:left w:val="nil"/>
              <w:bottom w:val="nil"/>
              <w:right w:val="nil"/>
            </w:tcBorders>
          </w:tcPr>
          <w:p w:rsidR="009F373B" w:rsidRPr="008C6087" w:rsidRDefault="009F373B">
            <w:pPr>
              <w:spacing w:line="240" w:lineRule="auto"/>
              <w:rPr>
                <w:rFonts w:ascii="Lato" w:hAnsi="Lato"/>
                <w:szCs w:val="22"/>
              </w:rPr>
            </w:pPr>
          </w:p>
        </w:tc>
        <w:tc>
          <w:tcPr>
            <w:tcW w:w="556" w:type="dxa"/>
            <w:gridSpan w:val="2"/>
            <w:tcBorders>
              <w:top w:val="nil"/>
              <w:left w:val="nil"/>
              <w:bottom w:val="nil"/>
              <w:right w:val="nil"/>
            </w:tcBorders>
          </w:tcPr>
          <w:p w:rsidR="009F373B" w:rsidRPr="008C6087" w:rsidRDefault="009F373B">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CE0866" w:rsidRPr="008C6087" w:rsidRDefault="00CE0866" w:rsidP="00B14694">
            <w:pPr>
              <w:spacing w:line="240" w:lineRule="auto"/>
              <w:rPr>
                <w:rFonts w:ascii="Lato" w:hAnsi="Lato"/>
                <w:szCs w:val="22"/>
              </w:rPr>
            </w:pPr>
            <w:r w:rsidRPr="008C6087">
              <w:rPr>
                <w:rFonts w:ascii="Lato" w:hAnsi="Lato"/>
                <w:szCs w:val="22"/>
              </w:rPr>
              <w:t>2.</w:t>
            </w:r>
            <w:r w:rsidR="00B14694" w:rsidRPr="008C6087">
              <w:rPr>
                <w:rFonts w:ascii="Lato" w:hAnsi="Lato"/>
                <w:szCs w:val="22"/>
              </w:rPr>
              <w:t>10</w:t>
            </w:r>
          </w:p>
        </w:tc>
        <w:tc>
          <w:tcPr>
            <w:tcW w:w="6974"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General Information</w:t>
            </w:r>
          </w:p>
        </w:tc>
        <w:tc>
          <w:tcPr>
            <w:tcW w:w="992" w:type="dxa"/>
            <w:gridSpan w:val="2"/>
            <w:tcBorders>
              <w:top w:val="nil"/>
              <w:left w:val="single" w:sz="4" w:space="0" w:color="auto"/>
              <w:bottom w:val="nil"/>
              <w:right w:val="nil"/>
            </w:tcBorders>
          </w:tcPr>
          <w:p w:rsidR="00CE0866" w:rsidRPr="008C6087" w:rsidRDefault="00CE0866">
            <w:pPr>
              <w:spacing w:line="240" w:lineRule="auto"/>
              <w:rPr>
                <w:rFonts w:ascii="Lato" w:hAnsi="Lato"/>
                <w:b/>
                <w:bCs/>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b/>
                <w:bCs/>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b/>
                <w:bCs/>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E2618B">
        <w:trPr>
          <w:gridAfter w:val="2"/>
          <w:wAfter w:w="3800" w:type="dxa"/>
        </w:trPr>
        <w:tc>
          <w:tcPr>
            <w:tcW w:w="1107" w:type="dxa"/>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rsidP="00F55590">
            <w:pPr>
              <w:spacing w:line="240" w:lineRule="auto"/>
              <w:rPr>
                <w:rFonts w:ascii="Lato" w:hAnsi="Lato"/>
                <w:szCs w:val="22"/>
              </w:rPr>
            </w:pPr>
            <w:r w:rsidRPr="008C6087">
              <w:rPr>
                <w:rFonts w:ascii="Lato" w:hAnsi="Lato"/>
                <w:szCs w:val="22"/>
              </w:rPr>
              <w:t>2.</w:t>
            </w:r>
            <w:r w:rsidR="003C3E16" w:rsidRPr="008C6087">
              <w:rPr>
                <w:rFonts w:ascii="Lato" w:hAnsi="Lato"/>
                <w:szCs w:val="22"/>
              </w:rPr>
              <w:t>1</w:t>
            </w:r>
            <w:r w:rsidR="00F55590" w:rsidRPr="008C6087">
              <w:rPr>
                <w:rFonts w:ascii="Lato" w:hAnsi="Lato"/>
                <w:szCs w:val="22"/>
              </w:rPr>
              <w:t>0</w:t>
            </w:r>
            <w:r w:rsidRPr="008C6087">
              <w:rPr>
                <w:rFonts w:ascii="Lato" w:hAnsi="Lato"/>
                <w:szCs w:val="22"/>
              </w:rPr>
              <w:t>.1</w:t>
            </w:r>
          </w:p>
        </w:tc>
        <w:tc>
          <w:tcPr>
            <w:tcW w:w="6974" w:type="dxa"/>
            <w:gridSpan w:val="2"/>
            <w:tcBorders>
              <w:top w:val="nil"/>
              <w:left w:val="nil"/>
              <w:bottom w:val="nil"/>
              <w:right w:val="nil"/>
            </w:tcBorders>
          </w:tcPr>
          <w:p w:rsidR="00CE0866" w:rsidRPr="008C6087" w:rsidRDefault="00CE0866">
            <w:pPr>
              <w:pStyle w:val="Heading1"/>
              <w:spacing w:before="0" w:after="0" w:line="240" w:lineRule="auto"/>
              <w:rPr>
                <w:rFonts w:ascii="Lato" w:hAnsi="Lato"/>
                <w:color w:val="auto"/>
                <w:sz w:val="22"/>
                <w:szCs w:val="22"/>
              </w:rPr>
            </w:pPr>
            <w:r w:rsidRPr="008C6087">
              <w:rPr>
                <w:rFonts w:ascii="Lato" w:hAnsi="Lato"/>
                <w:color w:val="auto"/>
                <w:sz w:val="22"/>
                <w:szCs w:val="22"/>
              </w:rPr>
              <w:t>Conflict of Interests</w:t>
            </w: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single" w:sz="4" w:space="0" w:color="auto"/>
            </w:tcBorders>
          </w:tcPr>
          <w:p w:rsidR="00CE0866" w:rsidRPr="008C6087" w:rsidRDefault="00CE0866">
            <w:pPr>
              <w:spacing w:line="240" w:lineRule="auto"/>
              <w:rPr>
                <w:rFonts w:ascii="Lato" w:hAnsi="Lato"/>
                <w:szCs w:val="22"/>
              </w:rPr>
            </w:pPr>
            <w:r w:rsidRPr="008C6087">
              <w:rPr>
                <w:rFonts w:ascii="Lato" w:hAnsi="Lato"/>
                <w:szCs w:val="22"/>
              </w:rPr>
              <w:t xml:space="preserve">Disclose a description of the potential conflicts of interest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 xml:space="preserve">which could arise between the </w:t>
            </w:r>
            <w:r w:rsidR="00F617E3" w:rsidRPr="008C6087">
              <w:rPr>
                <w:rFonts w:ascii="Lato" w:hAnsi="Lato"/>
                <w:szCs w:val="22"/>
              </w:rPr>
              <w:t xml:space="preserve">AIFM, </w:t>
            </w:r>
            <w:r w:rsidRPr="008C6087">
              <w:rPr>
                <w:rFonts w:ascii="Lato" w:hAnsi="Lato"/>
                <w:szCs w:val="22"/>
              </w:rPr>
              <w:t>management company, general partner, investment manager and the Retail Investor AIF</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single" w:sz="4" w:space="0" w:color="auto"/>
            </w:tcBorders>
          </w:tcPr>
          <w:p w:rsidR="00CE0866" w:rsidRPr="008C6087" w:rsidRDefault="00CE0866" w:rsidP="00AD368F">
            <w:pPr>
              <w:spacing w:line="240" w:lineRule="auto"/>
              <w:rPr>
                <w:rFonts w:ascii="Lato" w:hAnsi="Lato"/>
                <w:szCs w:val="22"/>
              </w:rPr>
            </w:pPr>
            <w:r w:rsidRPr="008C6087">
              <w:rPr>
                <w:rFonts w:ascii="Lato" w:hAnsi="Lato"/>
                <w:szCs w:val="22"/>
              </w:rPr>
              <w:t>Indicate</w:t>
            </w:r>
            <w:r w:rsidR="00956AD4" w:rsidRPr="008C6087">
              <w:rPr>
                <w:rFonts w:ascii="Lato" w:hAnsi="Lato"/>
                <w:szCs w:val="22"/>
              </w:rPr>
              <w:t xml:space="preserve"> where applicable</w:t>
            </w:r>
            <w:r w:rsidRPr="008C6087">
              <w:rPr>
                <w:rFonts w:ascii="Lato" w:hAnsi="Lato"/>
                <w:szCs w:val="22"/>
              </w:rPr>
              <w:t xml:space="preserve"> how these will be resolved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rsidP="000D40C4">
            <w:pPr>
              <w:spacing w:line="240" w:lineRule="auto"/>
              <w:rPr>
                <w:rFonts w:ascii="Lato" w:hAnsi="Lato"/>
                <w:szCs w:val="22"/>
              </w:rPr>
            </w:pP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single" w:sz="4" w:space="0" w:color="auto"/>
            </w:tcBorders>
          </w:tcPr>
          <w:p w:rsidR="00CE0866" w:rsidRPr="008C6087" w:rsidRDefault="00CE0866" w:rsidP="004226CE">
            <w:pPr>
              <w:spacing w:line="240" w:lineRule="auto"/>
              <w:rPr>
                <w:rFonts w:ascii="Lato" w:hAnsi="Lato"/>
                <w:szCs w:val="22"/>
              </w:rPr>
            </w:pPr>
            <w:r w:rsidRPr="008C6087">
              <w:rPr>
                <w:rFonts w:ascii="Lato" w:hAnsi="Lato"/>
                <w:szCs w:val="22"/>
              </w:rPr>
              <w:t xml:space="preserve">Disclose where it is envisaged that transactions with a </w:t>
            </w:r>
            <w:r w:rsidR="00960C3F" w:rsidRPr="008C6087">
              <w:rPr>
                <w:rFonts w:ascii="Lato" w:hAnsi="Lato"/>
                <w:szCs w:val="22"/>
              </w:rPr>
              <w:t>general</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4226CE" w:rsidP="007C6D1C">
            <w:pPr>
              <w:spacing w:line="240" w:lineRule="auto"/>
              <w:rPr>
                <w:rFonts w:ascii="Lato" w:hAnsi="Lato"/>
                <w:szCs w:val="22"/>
              </w:rPr>
            </w:pPr>
            <w:r w:rsidRPr="008C6087">
              <w:rPr>
                <w:rFonts w:ascii="Lato" w:hAnsi="Lato"/>
                <w:szCs w:val="22"/>
              </w:rPr>
              <w:t xml:space="preserve">partner, </w:t>
            </w:r>
            <w:r w:rsidR="007C6D1C" w:rsidRPr="008C6087">
              <w:rPr>
                <w:rFonts w:ascii="Lato" w:hAnsi="Lato"/>
                <w:szCs w:val="22"/>
              </w:rPr>
              <w:t>management company</w:t>
            </w:r>
            <w:r w:rsidR="00CE0866" w:rsidRPr="008C6087">
              <w:rPr>
                <w:rFonts w:ascii="Lato" w:hAnsi="Lato"/>
                <w:szCs w:val="22"/>
              </w:rPr>
              <w:t>, depositary, AIFM, investment manager and/or its</w:t>
            </w:r>
            <w:r w:rsidRPr="008C6087">
              <w:rPr>
                <w:rFonts w:ascii="Lato" w:hAnsi="Lato"/>
                <w:szCs w:val="22"/>
              </w:rPr>
              <w:t xml:space="preserve"> </w:t>
            </w:r>
            <w:r w:rsidR="00CE0866" w:rsidRPr="008C6087">
              <w:rPr>
                <w:rFonts w:ascii="Lato" w:hAnsi="Lato"/>
                <w:szCs w:val="22"/>
              </w:rPr>
              <w:t>delegate or associated or group companies may be entered into</w:t>
            </w:r>
          </w:p>
        </w:tc>
        <w:tc>
          <w:tcPr>
            <w:tcW w:w="992"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nil"/>
              <w:bottom w:val="nil"/>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CE0866">
            <w:pPr>
              <w:spacing w:line="240" w:lineRule="auto"/>
              <w:rPr>
                <w:rFonts w:ascii="Lato" w:hAnsi="Lato"/>
                <w:szCs w:val="22"/>
              </w:rPr>
            </w:pPr>
          </w:p>
        </w:tc>
        <w:tc>
          <w:tcPr>
            <w:tcW w:w="697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992"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36"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709" w:type="dxa"/>
            <w:gridSpan w:val="3"/>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2"/>
            <w:tcBorders>
              <w:top w:val="nil"/>
              <w:left w:val="nil"/>
              <w:bottom w:val="nil"/>
              <w:right w:val="nil"/>
            </w:tcBorders>
          </w:tcPr>
          <w:p w:rsidR="00CE0866" w:rsidRPr="008C6087" w:rsidRDefault="00CE0866">
            <w:pPr>
              <w:spacing w:line="240" w:lineRule="auto"/>
              <w:rPr>
                <w:rFonts w:ascii="Lato" w:hAnsi="Lato"/>
                <w:szCs w:val="22"/>
              </w:rPr>
            </w:pPr>
          </w:p>
        </w:tc>
        <w:tc>
          <w:tcPr>
            <w:tcW w:w="455" w:type="dxa"/>
            <w:gridSpan w:val="2"/>
            <w:tcBorders>
              <w:top w:val="nil"/>
              <w:left w:val="nil"/>
              <w:bottom w:val="single" w:sz="4" w:space="0" w:color="auto"/>
              <w:right w:val="nil"/>
            </w:tcBorders>
          </w:tcPr>
          <w:p w:rsidR="00CE0866" w:rsidRPr="008C6087" w:rsidRDefault="00CE0866">
            <w:pPr>
              <w:spacing w:line="240" w:lineRule="auto"/>
              <w:rPr>
                <w:rFonts w:ascii="Lato" w:hAnsi="Lato"/>
                <w:szCs w:val="22"/>
              </w:rPr>
            </w:pPr>
          </w:p>
        </w:tc>
        <w:tc>
          <w:tcPr>
            <w:tcW w:w="264" w:type="dxa"/>
            <w:gridSpan w:val="4"/>
            <w:tcBorders>
              <w:top w:val="nil"/>
              <w:left w:val="nil"/>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CE0866" w:rsidRPr="008C6087" w:rsidRDefault="005D011A">
            <w:pPr>
              <w:spacing w:line="240" w:lineRule="auto"/>
              <w:rPr>
                <w:rFonts w:ascii="Lato" w:hAnsi="Lato"/>
                <w:szCs w:val="22"/>
              </w:rPr>
            </w:pPr>
            <w:r w:rsidRPr="008C6087">
              <w:rPr>
                <w:rFonts w:ascii="Lato" w:hAnsi="Lato"/>
                <w:szCs w:val="22"/>
              </w:rPr>
              <w:t>d</w:t>
            </w:r>
            <w:r w:rsidR="00CE0866" w:rsidRPr="008C6087">
              <w:rPr>
                <w:rFonts w:ascii="Lato" w:hAnsi="Lato"/>
                <w:szCs w:val="22"/>
              </w:rPr>
              <w:t>)</w:t>
            </w:r>
          </w:p>
        </w:tc>
        <w:tc>
          <w:tcPr>
            <w:tcW w:w="6974" w:type="dxa"/>
            <w:gridSpan w:val="2"/>
            <w:tcBorders>
              <w:top w:val="nil"/>
              <w:left w:val="nil"/>
              <w:bottom w:val="nil"/>
              <w:right w:val="single" w:sz="4" w:space="0" w:color="auto"/>
            </w:tcBorders>
          </w:tcPr>
          <w:p w:rsidR="00CE0866" w:rsidRPr="008C6087" w:rsidRDefault="00CE0866" w:rsidP="006803D9">
            <w:pPr>
              <w:spacing w:line="240" w:lineRule="auto"/>
              <w:rPr>
                <w:rFonts w:ascii="Lato" w:hAnsi="Lato"/>
                <w:szCs w:val="22"/>
              </w:rPr>
            </w:pPr>
            <w:r w:rsidRPr="008C6087">
              <w:rPr>
                <w:rFonts w:ascii="Lato" w:hAnsi="Lato"/>
                <w:szCs w:val="22"/>
              </w:rPr>
              <w:t>Where</w:t>
            </w:r>
            <w:r w:rsidR="00642629" w:rsidRPr="008C6087">
              <w:rPr>
                <w:rFonts w:ascii="Lato" w:hAnsi="Lato"/>
                <w:szCs w:val="22"/>
              </w:rPr>
              <w:t xml:space="preserve"> Securities have been valued by a competent person</w:t>
            </w:r>
            <w:r w:rsidR="006803D9" w:rsidRPr="008C6087">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CE0866" w:rsidRPr="008C6087" w:rsidRDefault="00CE0866">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CE0866" w:rsidRPr="008C6087" w:rsidRDefault="00CE0866">
            <w:pPr>
              <w:spacing w:line="240" w:lineRule="auto"/>
              <w:rPr>
                <w:rFonts w:ascii="Lato" w:hAnsi="Lato"/>
                <w:szCs w:val="22"/>
              </w:rPr>
            </w:pPr>
          </w:p>
        </w:tc>
        <w:tc>
          <w:tcPr>
            <w:tcW w:w="264" w:type="dxa"/>
            <w:gridSpan w:val="4"/>
            <w:tcBorders>
              <w:top w:val="nil"/>
              <w:left w:val="single" w:sz="4" w:space="0" w:color="auto"/>
              <w:bottom w:val="nil"/>
              <w:right w:val="nil"/>
            </w:tcBorders>
          </w:tcPr>
          <w:p w:rsidR="00CE0866" w:rsidRPr="008C6087" w:rsidRDefault="00CE0866">
            <w:pPr>
              <w:spacing w:line="240" w:lineRule="auto"/>
              <w:rPr>
                <w:rFonts w:ascii="Lato" w:hAnsi="Lato"/>
                <w:szCs w:val="22"/>
              </w:rPr>
            </w:pPr>
          </w:p>
        </w:tc>
        <w:tc>
          <w:tcPr>
            <w:tcW w:w="556" w:type="dxa"/>
            <w:gridSpan w:val="2"/>
            <w:tcBorders>
              <w:top w:val="nil"/>
              <w:left w:val="nil"/>
              <w:bottom w:val="nil"/>
              <w:right w:val="nil"/>
            </w:tcBorders>
          </w:tcPr>
          <w:p w:rsidR="00CE0866" w:rsidRPr="008C6087" w:rsidRDefault="00CE0866">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5D011A" w:rsidRPr="008C6087" w:rsidRDefault="005D011A">
            <w:pPr>
              <w:spacing w:line="240" w:lineRule="auto"/>
              <w:rPr>
                <w:rFonts w:ascii="Lato" w:hAnsi="Lato"/>
                <w:szCs w:val="22"/>
              </w:rPr>
            </w:pPr>
          </w:p>
        </w:tc>
        <w:tc>
          <w:tcPr>
            <w:tcW w:w="6974" w:type="dxa"/>
            <w:gridSpan w:val="2"/>
            <w:tcBorders>
              <w:top w:val="nil"/>
              <w:left w:val="nil"/>
              <w:bottom w:val="nil"/>
              <w:right w:val="nil"/>
            </w:tcBorders>
          </w:tcPr>
          <w:p w:rsidR="005D011A" w:rsidRPr="008C6087" w:rsidRDefault="006803D9">
            <w:pPr>
              <w:spacing w:line="240" w:lineRule="auto"/>
              <w:rPr>
                <w:rFonts w:ascii="Lato" w:hAnsi="Lato"/>
                <w:szCs w:val="22"/>
              </w:rPr>
            </w:pPr>
            <w:r w:rsidRPr="008C6087">
              <w:rPr>
                <w:rFonts w:ascii="Lato" w:hAnsi="Lato"/>
                <w:szCs w:val="22"/>
              </w:rPr>
              <w:t>and that ‘competent person’ is a related  party to the R</w:t>
            </w:r>
            <w:r w:rsidR="00D0447E" w:rsidRPr="008C6087">
              <w:rPr>
                <w:rFonts w:ascii="Lato" w:hAnsi="Lato"/>
                <w:szCs w:val="22"/>
              </w:rPr>
              <w:t xml:space="preserve">etail </w:t>
            </w:r>
            <w:r w:rsidRPr="008C6087">
              <w:rPr>
                <w:rFonts w:ascii="Lato" w:hAnsi="Lato"/>
                <w:szCs w:val="22"/>
              </w:rPr>
              <w:t>I</w:t>
            </w:r>
            <w:r w:rsidR="00D0447E" w:rsidRPr="008C6087">
              <w:rPr>
                <w:rFonts w:ascii="Lato" w:hAnsi="Lato"/>
                <w:szCs w:val="22"/>
              </w:rPr>
              <w:t xml:space="preserve">nvestor </w:t>
            </w:r>
            <w:r w:rsidRPr="008C6087">
              <w:rPr>
                <w:rFonts w:ascii="Lato" w:hAnsi="Lato"/>
                <w:szCs w:val="22"/>
              </w:rPr>
              <w:t>AIF disclose the possible conflicts of interest which may arise</w:t>
            </w:r>
          </w:p>
        </w:tc>
        <w:tc>
          <w:tcPr>
            <w:tcW w:w="992"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36"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709" w:type="dxa"/>
            <w:gridSpan w:val="3"/>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455" w:type="dxa"/>
            <w:gridSpan w:val="2"/>
            <w:tcBorders>
              <w:top w:val="nil"/>
              <w:left w:val="nil"/>
              <w:bottom w:val="nil"/>
              <w:right w:val="nil"/>
            </w:tcBorders>
          </w:tcPr>
          <w:p w:rsidR="005D011A" w:rsidRPr="008C6087" w:rsidRDefault="005D011A">
            <w:pPr>
              <w:spacing w:line="240" w:lineRule="auto"/>
              <w:rPr>
                <w:rFonts w:ascii="Lato" w:hAnsi="Lato"/>
                <w:szCs w:val="22"/>
              </w:rPr>
            </w:pPr>
          </w:p>
        </w:tc>
        <w:tc>
          <w:tcPr>
            <w:tcW w:w="264" w:type="dxa"/>
            <w:gridSpan w:val="4"/>
            <w:tcBorders>
              <w:top w:val="nil"/>
              <w:left w:val="nil"/>
              <w:bottom w:val="nil"/>
              <w:right w:val="nil"/>
            </w:tcBorders>
          </w:tcPr>
          <w:p w:rsidR="005D011A" w:rsidRPr="008C6087" w:rsidRDefault="005D011A">
            <w:pPr>
              <w:spacing w:line="240" w:lineRule="auto"/>
              <w:rPr>
                <w:rFonts w:ascii="Lato" w:hAnsi="Lato"/>
                <w:szCs w:val="22"/>
              </w:rPr>
            </w:pPr>
          </w:p>
        </w:tc>
        <w:tc>
          <w:tcPr>
            <w:tcW w:w="556" w:type="dxa"/>
            <w:gridSpan w:val="2"/>
            <w:tcBorders>
              <w:top w:val="nil"/>
              <w:left w:val="nil"/>
              <w:bottom w:val="nil"/>
              <w:right w:val="nil"/>
            </w:tcBorders>
          </w:tcPr>
          <w:p w:rsidR="005D011A" w:rsidRPr="008C6087" w:rsidRDefault="005D011A">
            <w:pPr>
              <w:spacing w:line="240" w:lineRule="auto"/>
              <w:rPr>
                <w:rFonts w:ascii="Lato" w:hAnsi="Lato"/>
                <w:szCs w:val="22"/>
              </w:rPr>
            </w:pPr>
          </w:p>
        </w:tc>
      </w:tr>
      <w:tr w:rsidR="00FB497D" w:rsidRPr="008C6087" w:rsidTr="008C6087">
        <w:trPr>
          <w:gridAfter w:val="2"/>
          <w:wAfter w:w="3800" w:type="dxa"/>
        </w:trPr>
        <w:tc>
          <w:tcPr>
            <w:tcW w:w="1107" w:type="dxa"/>
            <w:tcBorders>
              <w:top w:val="nil"/>
              <w:left w:val="nil"/>
              <w:bottom w:val="nil"/>
              <w:right w:val="nil"/>
            </w:tcBorders>
          </w:tcPr>
          <w:p w:rsidR="006803D9" w:rsidRPr="008C6087" w:rsidRDefault="006803D9">
            <w:pPr>
              <w:spacing w:line="240" w:lineRule="auto"/>
              <w:rPr>
                <w:rFonts w:ascii="Lato" w:hAnsi="Lato"/>
                <w:szCs w:val="22"/>
              </w:rPr>
            </w:pPr>
          </w:p>
        </w:tc>
        <w:tc>
          <w:tcPr>
            <w:tcW w:w="697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992"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36"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709" w:type="dxa"/>
            <w:gridSpan w:val="3"/>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2"/>
            <w:tcBorders>
              <w:top w:val="nil"/>
              <w:left w:val="nil"/>
              <w:bottom w:val="nil"/>
              <w:right w:val="nil"/>
            </w:tcBorders>
          </w:tcPr>
          <w:p w:rsidR="006803D9" w:rsidRPr="008C6087" w:rsidRDefault="006803D9">
            <w:pPr>
              <w:spacing w:line="240" w:lineRule="auto"/>
              <w:rPr>
                <w:rFonts w:ascii="Lato" w:hAnsi="Lato"/>
                <w:szCs w:val="22"/>
              </w:rPr>
            </w:pPr>
          </w:p>
        </w:tc>
        <w:tc>
          <w:tcPr>
            <w:tcW w:w="455" w:type="dxa"/>
            <w:gridSpan w:val="2"/>
            <w:tcBorders>
              <w:top w:val="nil"/>
              <w:left w:val="nil"/>
              <w:bottom w:val="single" w:sz="4" w:space="0" w:color="auto"/>
              <w:right w:val="nil"/>
            </w:tcBorders>
          </w:tcPr>
          <w:p w:rsidR="006803D9" w:rsidRPr="008C6087" w:rsidRDefault="006803D9">
            <w:pPr>
              <w:spacing w:line="240" w:lineRule="auto"/>
              <w:rPr>
                <w:rFonts w:ascii="Lato" w:hAnsi="Lato"/>
                <w:szCs w:val="22"/>
              </w:rPr>
            </w:pPr>
          </w:p>
        </w:tc>
        <w:tc>
          <w:tcPr>
            <w:tcW w:w="264" w:type="dxa"/>
            <w:gridSpan w:val="4"/>
            <w:tcBorders>
              <w:top w:val="nil"/>
              <w:left w:val="nil"/>
              <w:bottom w:val="nil"/>
              <w:right w:val="nil"/>
            </w:tcBorders>
          </w:tcPr>
          <w:p w:rsidR="006803D9" w:rsidRPr="008C6087" w:rsidRDefault="006803D9">
            <w:pPr>
              <w:spacing w:line="240" w:lineRule="auto"/>
              <w:rPr>
                <w:rFonts w:ascii="Lato" w:hAnsi="Lato"/>
                <w:szCs w:val="22"/>
              </w:rPr>
            </w:pPr>
          </w:p>
        </w:tc>
        <w:tc>
          <w:tcPr>
            <w:tcW w:w="556" w:type="dxa"/>
            <w:gridSpan w:val="2"/>
            <w:tcBorders>
              <w:top w:val="nil"/>
              <w:left w:val="nil"/>
              <w:bottom w:val="nil"/>
              <w:right w:val="nil"/>
            </w:tcBorders>
          </w:tcPr>
          <w:p w:rsidR="006803D9" w:rsidRPr="008C6087" w:rsidRDefault="006803D9">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.2</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 xml:space="preserve">Disclose a description of how the AIFM ensures a fair treatment of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 xml:space="preserve">unitholders and, whenever a unitholder obtains preferential treatment or the right to obtain preferential treatment, a description of that preferential treatment, the type of unitholders who obtain such preferential treatment and, where relevant, their legal or economic links with the </w:t>
            </w:r>
            <w:r w:rsidR="00CF4050" w:rsidRPr="008C6087">
              <w:rPr>
                <w:rFonts w:ascii="Lato" w:hAnsi="Lato"/>
                <w:szCs w:val="22"/>
              </w:rPr>
              <w:t xml:space="preserve">Retail Investor </w:t>
            </w:r>
            <w:r w:rsidRPr="008C6087">
              <w:rPr>
                <w:rFonts w:ascii="Lato" w:hAnsi="Lato"/>
                <w:szCs w:val="22"/>
              </w:rPr>
              <w:t>AIF or AIFM</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w:t>
            </w:r>
            <w:r w:rsidR="00F55590" w:rsidRPr="008C6087">
              <w:rPr>
                <w:rFonts w:ascii="Lato" w:hAnsi="Lato"/>
                <w:szCs w:val="22"/>
              </w:rPr>
              <w:t>10.</w:t>
            </w:r>
            <w:r w:rsidRPr="008C6087">
              <w:rPr>
                <w:rFonts w:ascii="Lato" w:hAnsi="Lato"/>
                <w:szCs w:val="22"/>
              </w:rPr>
              <w:t>3</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Dealings by management company, general partner, depositary, AIFM, investment manager or by delegates or group companies of these</w:t>
            </w: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4F67F8" w:rsidRPr="008C6087" w:rsidRDefault="004F67F8" w:rsidP="004F67F8">
            <w:pPr>
              <w:spacing w:line="240" w:lineRule="auto"/>
              <w:rPr>
                <w:rFonts w:ascii="Lato" w:hAnsi="Lato"/>
                <w:szCs w:val="22"/>
              </w:rPr>
            </w:pPr>
            <w:r w:rsidRPr="008C6087">
              <w:rPr>
                <w:rFonts w:ascii="Lato" w:hAnsi="Lato"/>
                <w:szCs w:val="22"/>
              </w:rPr>
              <w:t>The Retail Investor AIF shall only enter into a transaction with</w:t>
            </w:r>
            <w:r w:rsidRPr="008C6087" w:rsidDel="00950044">
              <w:rPr>
                <w:rFonts w:ascii="Lato" w:hAnsi="Lato"/>
                <w:szCs w:val="22"/>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p>
        </w:tc>
        <w:tc>
          <w:tcPr>
            <w:tcW w:w="6974" w:type="dxa"/>
            <w:gridSpan w:val="2"/>
            <w:tcBorders>
              <w:top w:val="nil"/>
              <w:left w:val="nil"/>
              <w:bottom w:val="nil"/>
              <w:right w:val="nil"/>
            </w:tcBorders>
          </w:tcPr>
          <w:p w:rsidR="004F67F8" w:rsidRPr="008C6087" w:rsidRDefault="004F67F8" w:rsidP="00663FCF">
            <w:pPr>
              <w:spacing w:line="240" w:lineRule="auto"/>
              <w:rPr>
                <w:rFonts w:ascii="Lato" w:hAnsi="Lato"/>
                <w:szCs w:val="22"/>
              </w:rPr>
            </w:pPr>
            <w:r w:rsidRPr="008C6087">
              <w:rPr>
                <w:rFonts w:ascii="Lato" w:hAnsi="Lato"/>
                <w:szCs w:val="22"/>
              </w:rPr>
              <w:t>a management company, general partner, depositary, AIFM, investment manager or by delegates or group companies of these where it is negotiated at arm</w:t>
            </w:r>
            <w:r w:rsidR="00314452" w:rsidRPr="008C6087">
              <w:rPr>
                <w:rFonts w:ascii="Lato" w:hAnsi="Lato"/>
                <w:szCs w:val="22"/>
              </w:rPr>
              <w:t>’</w:t>
            </w:r>
            <w:r w:rsidRPr="008C6087">
              <w:rPr>
                <w:rFonts w:ascii="Lato" w:hAnsi="Lato"/>
                <w:szCs w:val="22"/>
              </w:rPr>
              <w:t>s length. Transactions must be in the best interests of the unitholders.</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5D011A">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nil"/>
            </w:tcBorders>
          </w:tcPr>
          <w:p w:rsidR="004F67F8" w:rsidRPr="008C6087" w:rsidDel="00FE56B8" w:rsidRDefault="004F67F8">
            <w:pPr>
              <w:spacing w:line="240" w:lineRule="auto"/>
              <w:rPr>
                <w:rFonts w:ascii="Lato" w:hAnsi="Lato"/>
                <w:szCs w:val="22"/>
              </w:rPr>
            </w:pPr>
            <w:r w:rsidRPr="008C6087">
              <w:rPr>
                <w:rFonts w:ascii="Lato" w:hAnsi="Lato"/>
                <w:szCs w:val="22"/>
              </w:rPr>
              <w:t>Transactions permitted are subject to:</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(a) certified valuation by a person approved by the</w:t>
            </w:r>
            <w:r w:rsidR="003D0FCC" w:rsidRPr="008C6087">
              <w:rPr>
                <w:rFonts w:ascii="Lato" w:hAnsi="Lato"/>
                <w:szCs w:val="22"/>
              </w:rPr>
              <w:t xml:space="preserve"> depositary, or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Retail Investor AIF in the case of transactions involving the depositary, as independent and competent;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(b) execution on best terms on organised investment</w:t>
            </w:r>
            <w:r w:rsidR="003D0FCC" w:rsidRPr="008C6087">
              <w:rPr>
                <w:rFonts w:ascii="Lato" w:hAnsi="Lato"/>
                <w:szCs w:val="22"/>
              </w:rPr>
              <w:t xml:space="preserve"> exchanges under</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their rules; or</w:t>
            </w:r>
          </w:p>
        </w:tc>
        <w:tc>
          <w:tcPr>
            <w:tcW w:w="992"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(c) where (a) and (b) are not practical, execution on terms</w:t>
            </w:r>
            <w:r w:rsidR="003D0FCC" w:rsidRPr="008C6087">
              <w:rPr>
                <w:rFonts w:ascii="Lato" w:hAnsi="Lato"/>
                <w:szCs w:val="22"/>
              </w:rPr>
              <w:t xml:space="preserve"> which the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rsidP="003D0FCC">
            <w:pPr>
              <w:spacing w:line="240" w:lineRule="auto"/>
              <w:jc w:val="both"/>
              <w:rPr>
                <w:rFonts w:ascii="Lato" w:hAnsi="Lato"/>
                <w:szCs w:val="22"/>
              </w:rPr>
            </w:pPr>
            <w:r w:rsidRPr="008C6087">
              <w:rPr>
                <w:rFonts w:ascii="Lato" w:hAnsi="Lato"/>
                <w:szCs w:val="22"/>
              </w:rPr>
              <w:t>depositary, or the Retail Investor AIF in the case of transactions involving the depositary, is satisfied conform to the principles outlined in paragraph (i) of this section.</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E2618B">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4</w:t>
            </w:r>
          </w:p>
        </w:tc>
        <w:tc>
          <w:tcPr>
            <w:tcW w:w="6974" w:type="dxa"/>
            <w:gridSpan w:val="2"/>
            <w:tcBorders>
              <w:top w:val="nil"/>
              <w:left w:val="nil"/>
              <w:bottom w:val="nil"/>
              <w:right w:val="nil"/>
            </w:tcBorders>
          </w:tcPr>
          <w:p w:rsidR="004F67F8" w:rsidRPr="008C6087" w:rsidRDefault="004F67F8">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Soft commissions </w:t>
            </w:r>
          </w:p>
        </w:tc>
        <w:tc>
          <w:tcPr>
            <w:tcW w:w="992"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Disclose a description of soft commission arrangements</w:t>
            </w:r>
            <w:r w:rsidR="003D0FCC" w:rsidRPr="008C6087">
              <w:rPr>
                <w:rFonts w:ascii="Lato" w:hAnsi="Lato"/>
                <w:szCs w:val="22"/>
              </w:rPr>
              <w:t xml:space="preserve"> which may be</w:t>
            </w:r>
          </w:p>
        </w:tc>
        <w:tc>
          <w:tcPr>
            <w:tcW w:w="992"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entered into by a Retail Investor AIF.</w:t>
            </w:r>
          </w:p>
        </w:tc>
        <w:tc>
          <w:tcPr>
            <w:tcW w:w="992"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5</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will inform investors before they invest in the</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3D0FCC">
            <w:pPr>
              <w:spacing w:line="240" w:lineRule="auto"/>
              <w:jc w:val="both"/>
              <w:rPr>
                <w:rFonts w:ascii="Lato" w:hAnsi="Lato"/>
                <w:szCs w:val="22"/>
              </w:rPr>
            </w:pPr>
            <w:r w:rsidRPr="008C6087">
              <w:rPr>
                <w:rFonts w:ascii="Lato" w:hAnsi="Lato"/>
                <w:szCs w:val="22"/>
              </w:rPr>
              <w:t>Retail Investor AIF of any arrangement made by the depositary  to contractually discharge itself of any liability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992"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nil"/>
              <w:left w:val="nil"/>
              <w:bottom w:val="single" w:sz="4" w:space="0" w:color="auto"/>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0</w:t>
            </w:r>
            <w:r w:rsidRPr="008C6087">
              <w:rPr>
                <w:rFonts w:ascii="Lato" w:hAnsi="Lato"/>
                <w:szCs w:val="22"/>
              </w:rPr>
              <w:t>.</w:t>
            </w:r>
            <w:r w:rsidR="00CF4050" w:rsidRPr="008C6087">
              <w:rPr>
                <w:rFonts w:ascii="Lato" w:hAnsi="Lato"/>
                <w:szCs w:val="22"/>
              </w:rPr>
              <w:t>6</w:t>
            </w:r>
          </w:p>
        </w:tc>
        <w:tc>
          <w:tcPr>
            <w:tcW w:w="6974" w:type="dxa"/>
            <w:gridSpan w:val="2"/>
            <w:tcBorders>
              <w:top w:val="nil"/>
              <w:left w:val="nil"/>
              <w:bottom w:val="nil"/>
              <w:right w:val="single" w:sz="4" w:space="0" w:color="auto"/>
            </w:tcBorders>
          </w:tcPr>
          <w:p w:rsidR="00512C41" w:rsidRPr="008C6087" w:rsidRDefault="00512C41" w:rsidP="00512C41">
            <w:pPr>
              <w:spacing w:line="240" w:lineRule="auto"/>
              <w:rPr>
                <w:rFonts w:ascii="Lato" w:hAnsi="Lato"/>
                <w:szCs w:val="22"/>
              </w:rPr>
            </w:pPr>
            <w:r w:rsidRPr="008C6087">
              <w:rPr>
                <w:rFonts w:ascii="Lato" w:hAnsi="Lato"/>
                <w:szCs w:val="22"/>
              </w:rPr>
              <w:t>Disclose that the AIFM must also inform unitholders of any changes</w:t>
            </w:r>
          </w:p>
        </w:tc>
        <w:tc>
          <w:tcPr>
            <w:tcW w:w="992"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512C41" w:rsidRPr="008C6087" w:rsidRDefault="00512C41">
            <w:pPr>
              <w:spacing w:line="240" w:lineRule="auto"/>
              <w:rPr>
                <w:rFonts w:ascii="Lato" w:hAnsi="Lato"/>
                <w:szCs w:val="22"/>
              </w:rPr>
            </w:pPr>
          </w:p>
        </w:tc>
        <w:tc>
          <w:tcPr>
            <w:tcW w:w="264" w:type="dxa"/>
            <w:gridSpan w:val="4"/>
            <w:tcBorders>
              <w:top w:val="nil"/>
              <w:left w:val="single" w:sz="4" w:space="0" w:color="auto"/>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512C41" w:rsidRPr="008C6087" w:rsidTr="008C6087">
        <w:trPr>
          <w:gridAfter w:val="2"/>
          <w:wAfter w:w="3800" w:type="dxa"/>
        </w:trPr>
        <w:tc>
          <w:tcPr>
            <w:tcW w:w="1107" w:type="dxa"/>
            <w:tcBorders>
              <w:top w:val="nil"/>
              <w:left w:val="nil"/>
              <w:bottom w:val="nil"/>
              <w:right w:val="nil"/>
            </w:tcBorders>
          </w:tcPr>
          <w:p w:rsidR="00512C41" w:rsidRPr="008C6087" w:rsidRDefault="00512C41">
            <w:pPr>
              <w:spacing w:line="240" w:lineRule="auto"/>
              <w:rPr>
                <w:rFonts w:ascii="Lato" w:hAnsi="Lato"/>
                <w:szCs w:val="22"/>
              </w:rPr>
            </w:pPr>
          </w:p>
        </w:tc>
        <w:tc>
          <w:tcPr>
            <w:tcW w:w="6974" w:type="dxa"/>
            <w:gridSpan w:val="2"/>
            <w:tcBorders>
              <w:top w:val="nil"/>
              <w:left w:val="nil"/>
              <w:bottom w:val="nil"/>
              <w:right w:val="nil"/>
            </w:tcBorders>
          </w:tcPr>
          <w:p w:rsidR="00512C41" w:rsidRPr="008C6087" w:rsidRDefault="00512C41" w:rsidP="00512C41">
            <w:pPr>
              <w:spacing w:line="240" w:lineRule="auto"/>
              <w:rPr>
                <w:rFonts w:ascii="Lato" w:hAnsi="Lato"/>
                <w:szCs w:val="22"/>
              </w:rPr>
            </w:pPr>
            <w:r w:rsidRPr="008C6087">
              <w:rPr>
                <w:rFonts w:ascii="Lato" w:hAnsi="Lato"/>
                <w:szCs w:val="22"/>
              </w:rPr>
              <w:t>with respect to depositary liability without delay</w:t>
            </w:r>
          </w:p>
        </w:tc>
        <w:tc>
          <w:tcPr>
            <w:tcW w:w="992"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36"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709" w:type="dxa"/>
            <w:gridSpan w:val="3"/>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2"/>
            <w:tcBorders>
              <w:top w:val="nil"/>
              <w:left w:val="nil"/>
              <w:bottom w:val="nil"/>
              <w:right w:val="nil"/>
            </w:tcBorders>
          </w:tcPr>
          <w:p w:rsidR="00512C41" w:rsidRPr="008C6087" w:rsidRDefault="00512C41">
            <w:pPr>
              <w:spacing w:line="240" w:lineRule="auto"/>
              <w:rPr>
                <w:rFonts w:ascii="Lato" w:hAnsi="Lato"/>
                <w:szCs w:val="22"/>
              </w:rPr>
            </w:pPr>
          </w:p>
        </w:tc>
        <w:tc>
          <w:tcPr>
            <w:tcW w:w="455" w:type="dxa"/>
            <w:gridSpan w:val="2"/>
            <w:tcBorders>
              <w:top w:val="single" w:sz="4" w:space="0" w:color="auto"/>
              <w:left w:val="nil"/>
              <w:bottom w:val="nil"/>
              <w:right w:val="nil"/>
            </w:tcBorders>
          </w:tcPr>
          <w:p w:rsidR="00512C41" w:rsidRPr="008C6087" w:rsidRDefault="00512C41">
            <w:pPr>
              <w:spacing w:line="240" w:lineRule="auto"/>
              <w:rPr>
                <w:rFonts w:ascii="Lato" w:hAnsi="Lato"/>
                <w:szCs w:val="22"/>
              </w:rPr>
            </w:pPr>
          </w:p>
        </w:tc>
        <w:tc>
          <w:tcPr>
            <w:tcW w:w="264" w:type="dxa"/>
            <w:gridSpan w:val="4"/>
            <w:tcBorders>
              <w:top w:val="nil"/>
              <w:left w:val="nil"/>
              <w:bottom w:val="nil"/>
              <w:right w:val="nil"/>
            </w:tcBorders>
          </w:tcPr>
          <w:p w:rsidR="00512C41" w:rsidRPr="008C6087" w:rsidRDefault="00512C41">
            <w:pPr>
              <w:spacing w:line="240" w:lineRule="auto"/>
              <w:rPr>
                <w:rFonts w:ascii="Lato" w:hAnsi="Lato"/>
                <w:szCs w:val="22"/>
              </w:rPr>
            </w:pPr>
          </w:p>
        </w:tc>
        <w:tc>
          <w:tcPr>
            <w:tcW w:w="556" w:type="dxa"/>
            <w:gridSpan w:val="2"/>
            <w:tcBorders>
              <w:top w:val="nil"/>
              <w:left w:val="nil"/>
              <w:bottom w:val="nil"/>
              <w:right w:val="nil"/>
            </w:tcBorders>
          </w:tcPr>
          <w:p w:rsidR="00512C41" w:rsidRPr="008C6087" w:rsidRDefault="00512C41">
            <w:pPr>
              <w:spacing w:line="240" w:lineRule="auto"/>
              <w:rPr>
                <w:rFonts w:ascii="Lato" w:hAnsi="Lato"/>
                <w:szCs w:val="22"/>
              </w:rPr>
            </w:pPr>
          </w:p>
        </w:tc>
      </w:tr>
      <w:tr w:rsidR="004F67F8" w:rsidRPr="008C6087" w:rsidTr="008C6087">
        <w:trPr>
          <w:gridAfter w:val="2"/>
          <w:wAfter w:w="3800" w:type="dxa"/>
        </w:trPr>
        <w:tc>
          <w:tcPr>
            <w:tcW w:w="1107" w:type="dxa"/>
            <w:tcBorders>
              <w:top w:val="nil"/>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4F67F8" w:rsidRPr="008C6087" w:rsidRDefault="004F67F8" w:rsidP="00F55590">
            <w:pPr>
              <w:pStyle w:val="Header"/>
              <w:spacing w:line="240" w:lineRule="auto"/>
              <w:rPr>
                <w:rFonts w:ascii="Lato" w:hAnsi="Lato"/>
                <w:szCs w:val="22"/>
              </w:rPr>
            </w:pPr>
            <w:r w:rsidRPr="008C6087">
              <w:rPr>
                <w:rFonts w:ascii="Lato" w:hAnsi="Lato"/>
                <w:szCs w:val="22"/>
              </w:rPr>
              <w:t>2.1</w:t>
            </w:r>
            <w:r w:rsidR="00F55590" w:rsidRPr="008C6087">
              <w:rPr>
                <w:rFonts w:ascii="Lato" w:hAnsi="Lato"/>
                <w:szCs w:val="22"/>
              </w:rPr>
              <w:t>1</w:t>
            </w:r>
          </w:p>
        </w:tc>
        <w:tc>
          <w:tcPr>
            <w:tcW w:w="6974"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Reports and Accounts</w:t>
            </w:r>
          </w:p>
        </w:tc>
        <w:tc>
          <w:tcPr>
            <w:tcW w:w="992" w:type="dxa"/>
            <w:gridSpan w:val="2"/>
            <w:tcBorders>
              <w:top w:val="nil"/>
              <w:left w:val="single" w:sz="4" w:space="0" w:color="auto"/>
              <w:bottom w:val="nil"/>
              <w:right w:val="nil"/>
            </w:tcBorders>
          </w:tcPr>
          <w:p w:rsidR="004F67F8" w:rsidRPr="008C6087" w:rsidRDefault="004F67F8">
            <w:pPr>
              <w:spacing w:line="240" w:lineRule="auto"/>
              <w:rPr>
                <w:rFonts w:ascii="Lato" w:hAnsi="Lato"/>
                <w:b/>
                <w:bCs/>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b/>
                <w:bCs/>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2"/>
          <w:wAfter w:w="3800" w:type="dxa"/>
        </w:trPr>
        <w:tc>
          <w:tcPr>
            <w:tcW w:w="1107" w:type="dxa"/>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6974"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992"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56"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C3E16">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rsidP="00E63F22">
            <w:pPr>
              <w:spacing w:line="240" w:lineRule="auto"/>
              <w:rPr>
                <w:rFonts w:ascii="Lato" w:hAnsi="Lato"/>
                <w:szCs w:val="22"/>
              </w:rPr>
            </w:pPr>
            <w:r w:rsidRPr="008C6087">
              <w:rPr>
                <w:rFonts w:ascii="Lato" w:hAnsi="Lato"/>
                <w:szCs w:val="22"/>
              </w:rPr>
              <w:t>Disclose the accounting dates as follows:</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.1</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Annual accounting date;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.2</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Date of the initial annual reports;</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.3</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half yearly accounting date; and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.4</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Date of the initial half yearly report.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1</w:t>
            </w:r>
            <w:r w:rsidRPr="008C6087">
              <w:rPr>
                <w:rFonts w:ascii="Lato" w:hAnsi="Lato"/>
                <w:szCs w:val="22"/>
              </w:rPr>
              <w:t>.7</w:t>
            </w: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Disclose where the</w:t>
            </w:r>
          </w:p>
        </w:tc>
        <w:tc>
          <w:tcPr>
            <w:tcW w:w="737"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nil"/>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the constitutional document if not annexed and</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rsidP="001C4307">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4F67F8" w:rsidRPr="008C6087" w:rsidRDefault="004F67F8">
            <w:pPr>
              <w:spacing w:line="240" w:lineRule="auto"/>
              <w:rPr>
                <w:rFonts w:ascii="Lato" w:hAnsi="Lato"/>
                <w:szCs w:val="22"/>
              </w:rPr>
            </w:pPr>
            <w:r w:rsidRPr="008C6087">
              <w:rPr>
                <w:rFonts w:ascii="Lato" w:hAnsi="Lato"/>
                <w:szCs w:val="22"/>
              </w:rPr>
              <w:t xml:space="preserve">the annual reports </w:t>
            </w:r>
            <w:r w:rsidRPr="008C6087">
              <w:rPr>
                <w:rFonts w:ascii="Lato" w:hAnsi="Lato"/>
                <w:szCs w:val="22"/>
                <w:u w:val="single"/>
              </w:rPr>
              <w:t>may be obtained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4F67F8" w:rsidRPr="008C6087" w:rsidRDefault="004F67F8">
            <w:pPr>
              <w:spacing w:line="240" w:lineRule="auto"/>
              <w:rPr>
                <w:rFonts w:ascii="Lato" w:hAnsi="Lato"/>
                <w:szCs w:val="22"/>
              </w:rPr>
            </w:pPr>
          </w:p>
        </w:tc>
        <w:tc>
          <w:tcPr>
            <w:tcW w:w="264" w:type="dxa"/>
            <w:gridSpan w:val="4"/>
            <w:tcBorders>
              <w:top w:val="nil"/>
              <w:left w:val="single" w:sz="4" w:space="0" w:color="auto"/>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4F67F8" w:rsidRPr="008C6087" w:rsidTr="008C6087">
        <w:trPr>
          <w:gridAfter w:val="1"/>
          <w:wAfter w:w="3686" w:type="dxa"/>
        </w:trPr>
        <w:tc>
          <w:tcPr>
            <w:tcW w:w="1223" w:type="dxa"/>
            <w:gridSpan w:val="2"/>
            <w:tcBorders>
              <w:top w:val="nil"/>
              <w:left w:val="nil"/>
              <w:bottom w:val="nil"/>
              <w:right w:val="nil"/>
            </w:tcBorders>
          </w:tcPr>
          <w:p w:rsidR="004F67F8" w:rsidRPr="008C6087" w:rsidRDefault="004F67F8" w:rsidP="003D0FCC">
            <w:pPr>
              <w:spacing w:line="240" w:lineRule="auto"/>
              <w:jc w:val="right"/>
              <w:rPr>
                <w:rFonts w:ascii="Lato" w:hAnsi="Lato"/>
                <w:szCs w:val="22"/>
              </w:rPr>
            </w:pPr>
          </w:p>
        </w:tc>
        <w:tc>
          <w:tcPr>
            <w:tcW w:w="7193" w:type="dxa"/>
            <w:gridSpan w:val="2"/>
            <w:tcBorders>
              <w:top w:val="nil"/>
              <w:left w:val="nil"/>
              <w:bottom w:val="nil"/>
              <w:right w:val="nil"/>
            </w:tcBorders>
          </w:tcPr>
          <w:p w:rsidR="004F67F8" w:rsidRPr="008C6087" w:rsidRDefault="004F67F8">
            <w:pPr>
              <w:spacing w:line="240" w:lineRule="auto"/>
              <w:rPr>
                <w:rFonts w:ascii="Lato" w:hAnsi="Lato"/>
                <w:szCs w:val="22"/>
              </w:rPr>
            </w:pPr>
            <w:r w:rsidRPr="008C6087">
              <w:rPr>
                <w:rFonts w:ascii="Lato" w:hAnsi="Lato"/>
                <w:szCs w:val="22"/>
              </w:rPr>
              <w:t>(available for inspection is not acceptable)</w:t>
            </w:r>
          </w:p>
        </w:tc>
        <w:tc>
          <w:tcPr>
            <w:tcW w:w="737"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36"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709" w:type="dxa"/>
            <w:gridSpan w:val="3"/>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2"/>
            <w:tcBorders>
              <w:top w:val="nil"/>
              <w:left w:val="nil"/>
              <w:bottom w:val="nil"/>
              <w:right w:val="nil"/>
            </w:tcBorders>
          </w:tcPr>
          <w:p w:rsidR="004F67F8" w:rsidRPr="008C6087" w:rsidRDefault="004F67F8">
            <w:pPr>
              <w:spacing w:line="240" w:lineRule="auto"/>
              <w:rPr>
                <w:rFonts w:ascii="Lato" w:hAnsi="Lato"/>
                <w:szCs w:val="22"/>
              </w:rPr>
            </w:pPr>
          </w:p>
        </w:tc>
        <w:tc>
          <w:tcPr>
            <w:tcW w:w="455" w:type="dxa"/>
            <w:gridSpan w:val="2"/>
            <w:tcBorders>
              <w:top w:val="single" w:sz="4" w:space="0" w:color="auto"/>
              <w:left w:val="nil"/>
              <w:bottom w:val="nil"/>
              <w:right w:val="nil"/>
            </w:tcBorders>
          </w:tcPr>
          <w:p w:rsidR="004F67F8" w:rsidRPr="008C6087" w:rsidRDefault="004F67F8">
            <w:pPr>
              <w:spacing w:line="240" w:lineRule="auto"/>
              <w:rPr>
                <w:rFonts w:ascii="Lato" w:hAnsi="Lato"/>
                <w:szCs w:val="22"/>
              </w:rPr>
            </w:pPr>
          </w:p>
        </w:tc>
        <w:tc>
          <w:tcPr>
            <w:tcW w:w="264" w:type="dxa"/>
            <w:gridSpan w:val="4"/>
            <w:tcBorders>
              <w:top w:val="nil"/>
              <w:left w:val="nil"/>
              <w:bottom w:val="nil"/>
              <w:right w:val="nil"/>
            </w:tcBorders>
          </w:tcPr>
          <w:p w:rsidR="004F67F8" w:rsidRPr="008C6087" w:rsidRDefault="004F67F8">
            <w:pPr>
              <w:spacing w:line="240" w:lineRule="auto"/>
              <w:rPr>
                <w:rFonts w:ascii="Lato" w:hAnsi="Lato"/>
                <w:szCs w:val="22"/>
              </w:rPr>
            </w:pPr>
          </w:p>
        </w:tc>
        <w:tc>
          <w:tcPr>
            <w:tcW w:w="590" w:type="dxa"/>
            <w:gridSpan w:val="2"/>
            <w:tcBorders>
              <w:top w:val="nil"/>
              <w:left w:val="nil"/>
              <w:bottom w:val="nil"/>
              <w:right w:val="nil"/>
            </w:tcBorders>
          </w:tcPr>
          <w:p w:rsidR="004F67F8" w:rsidRPr="008C6087" w:rsidRDefault="004F67F8">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p>
        </w:tc>
        <w:tc>
          <w:tcPr>
            <w:tcW w:w="7193"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37"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36"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709" w:type="dxa"/>
            <w:gridSpan w:val="3"/>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2"/>
            <w:tcBorders>
              <w:top w:val="nil"/>
              <w:left w:val="nil"/>
              <w:bottom w:val="nil"/>
              <w:right w:val="nil"/>
            </w:tcBorders>
          </w:tcPr>
          <w:p w:rsidR="0064392C" w:rsidRPr="008C6087" w:rsidRDefault="0064392C">
            <w:pPr>
              <w:spacing w:line="240" w:lineRule="auto"/>
              <w:rPr>
                <w:rFonts w:ascii="Lato" w:hAnsi="Lato"/>
                <w:szCs w:val="22"/>
              </w:rPr>
            </w:pPr>
          </w:p>
        </w:tc>
        <w:tc>
          <w:tcPr>
            <w:tcW w:w="455" w:type="dxa"/>
            <w:gridSpan w:val="2"/>
            <w:tcBorders>
              <w:top w:val="nil"/>
              <w:left w:val="nil"/>
              <w:bottom w:val="single" w:sz="4" w:space="0" w:color="auto"/>
              <w:right w:val="nil"/>
            </w:tcBorders>
          </w:tcPr>
          <w:p w:rsidR="0064392C" w:rsidRPr="008C6087" w:rsidRDefault="0064392C">
            <w:pPr>
              <w:spacing w:line="240" w:lineRule="auto"/>
              <w:rPr>
                <w:rFonts w:ascii="Lato" w:hAnsi="Lato"/>
                <w:szCs w:val="22"/>
              </w:rPr>
            </w:pPr>
          </w:p>
        </w:tc>
        <w:tc>
          <w:tcPr>
            <w:tcW w:w="264" w:type="dxa"/>
            <w:gridSpan w:val="4"/>
            <w:tcBorders>
              <w:top w:val="nil"/>
              <w:left w:val="nil"/>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64392C" w:rsidRPr="008C6087" w:rsidTr="008C6087">
        <w:trPr>
          <w:gridAfter w:val="1"/>
          <w:wAfter w:w="3686" w:type="dxa"/>
        </w:trPr>
        <w:tc>
          <w:tcPr>
            <w:tcW w:w="1223" w:type="dxa"/>
            <w:gridSpan w:val="2"/>
            <w:tcBorders>
              <w:top w:val="nil"/>
              <w:left w:val="nil"/>
              <w:bottom w:val="nil"/>
              <w:right w:val="nil"/>
            </w:tcBorders>
          </w:tcPr>
          <w:p w:rsidR="0064392C" w:rsidRPr="008C6087" w:rsidRDefault="0064392C" w:rsidP="003D0FCC">
            <w:pPr>
              <w:spacing w:line="240" w:lineRule="auto"/>
              <w:jc w:val="right"/>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64392C" w:rsidRPr="008C6087" w:rsidRDefault="0064392C">
            <w:pPr>
              <w:spacing w:line="240" w:lineRule="auto"/>
              <w:rPr>
                <w:rFonts w:ascii="Lato" w:hAnsi="Lato"/>
                <w:szCs w:val="22"/>
              </w:rPr>
            </w:pPr>
            <w:r w:rsidRPr="008C6087">
              <w:rPr>
                <w:rFonts w:ascii="Lato" w:hAnsi="Lato"/>
                <w:szCs w:val="22"/>
              </w:rPr>
              <w:t>where available, any historical performance of the Retail Investor AIF</w:t>
            </w:r>
          </w:p>
        </w:tc>
        <w:tc>
          <w:tcPr>
            <w:tcW w:w="737"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64392C" w:rsidRPr="008C6087" w:rsidRDefault="0064392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64392C" w:rsidRPr="008C6087" w:rsidRDefault="0064392C">
            <w:pPr>
              <w:spacing w:line="240" w:lineRule="auto"/>
              <w:rPr>
                <w:rFonts w:ascii="Lato" w:hAnsi="Lato"/>
                <w:szCs w:val="22"/>
              </w:rPr>
            </w:pPr>
          </w:p>
        </w:tc>
        <w:tc>
          <w:tcPr>
            <w:tcW w:w="264" w:type="dxa"/>
            <w:gridSpan w:val="4"/>
            <w:tcBorders>
              <w:top w:val="nil"/>
              <w:left w:val="single" w:sz="4" w:space="0" w:color="auto"/>
              <w:bottom w:val="nil"/>
              <w:right w:val="nil"/>
            </w:tcBorders>
          </w:tcPr>
          <w:p w:rsidR="0064392C" w:rsidRPr="008C6087" w:rsidRDefault="0064392C">
            <w:pPr>
              <w:spacing w:line="240" w:lineRule="auto"/>
              <w:rPr>
                <w:rFonts w:ascii="Lato" w:hAnsi="Lato"/>
                <w:szCs w:val="22"/>
              </w:rPr>
            </w:pPr>
          </w:p>
        </w:tc>
        <w:tc>
          <w:tcPr>
            <w:tcW w:w="590" w:type="dxa"/>
            <w:gridSpan w:val="2"/>
            <w:tcBorders>
              <w:top w:val="nil"/>
              <w:left w:val="nil"/>
              <w:bottom w:val="nil"/>
              <w:right w:val="nil"/>
            </w:tcBorders>
          </w:tcPr>
          <w:p w:rsidR="0064392C" w:rsidRPr="008C6087" w:rsidRDefault="0064392C">
            <w:pPr>
              <w:spacing w:line="240" w:lineRule="auto"/>
              <w:rPr>
                <w:rFonts w:ascii="Lato" w:hAnsi="Lato"/>
                <w:szCs w:val="22"/>
              </w:rPr>
            </w:pPr>
          </w:p>
        </w:tc>
      </w:tr>
      <w:tr w:rsidR="005D411D" w:rsidRPr="008C6087" w:rsidTr="008C6087">
        <w:trPr>
          <w:gridAfter w:val="1"/>
          <w:wAfter w:w="3686" w:type="dxa"/>
        </w:trPr>
        <w:tc>
          <w:tcPr>
            <w:tcW w:w="1223" w:type="dxa"/>
            <w:gridSpan w:val="2"/>
            <w:tcBorders>
              <w:top w:val="nil"/>
              <w:left w:val="nil"/>
              <w:bottom w:val="nil"/>
              <w:right w:val="nil"/>
            </w:tcBorders>
          </w:tcPr>
          <w:p w:rsidR="005D411D" w:rsidRPr="008C6087" w:rsidRDefault="005D411D" w:rsidP="003D0FCC">
            <w:pPr>
              <w:spacing w:line="240" w:lineRule="auto"/>
              <w:jc w:val="right"/>
              <w:rPr>
                <w:rFonts w:ascii="Lato" w:hAnsi="Lato"/>
                <w:szCs w:val="22"/>
              </w:rPr>
            </w:pPr>
          </w:p>
        </w:tc>
        <w:tc>
          <w:tcPr>
            <w:tcW w:w="7193"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37"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36"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709" w:type="dxa"/>
            <w:gridSpan w:val="3"/>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2"/>
            <w:tcBorders>
              <w:top w:val="nil"/>
              <w:left w:val="nil"/>
              <w:bottom w:val="nil"/>
              <w:right w:val="nil"/>
            </w:tcBorders>
          </w:tcPr>
          <w:p w:rsidR="005D411D" w:rsidRPr="008C6087" w:rsidRDefault="005D411D">
            <w:pPr>
              <w:spacing w:line="240" w:lineRule="auto"/>
              <w:rPr>
                <w:rFonts w:ascii="Lato" w:hAnsi="Lato"/>
                <w:szCs w:val="22"/>
              </w:rPr>
            </w:pPr>
          </w:p>
        </w:tc>
        <w:tc>
          <w:tcPr>
            <w:tcW w:w="455" w:type="dxa"/>
            <w:gridSpan w:val="2"/>
            <w:tcBorders>
              <w:top w:val="single" w:sz="4" w:space="0" w:color="auto"/>
              <w:left w:val="nil"/>
              <w:bottom w:val="nil"/>
              <w:right w:val="nil"/>
            </w:tcBorders>
          </w:tcPr>
          <w:p w:rsidR="005D411D" w:rsidRPr="008C6087" w:rsidRDefault="005D411D">
            <w:pPr>
              <w:spacing w:line="240" w:lineRule="auto"/>
              <w:rPr>
                <w:rFonts w:ascii="Lato" w:hAnsi="Lato"/>
                <w:szCs w:val="22"/>
              </w:rPr>
            </w:pPr>
          </w:p>
        </w:tc>
        <w:tc>
          <w:tcPr>
            <w:tcW w:w="264" w:type="dxa"/>
            <w:gridSpan w:val="4"/>
            <w:tcBorders>
              <w:top w:val="nil"/>
              <w:left w:val="nil"/>
              <w:bottom w:val="nil"/>
              <w:right w:val="nil"/>
            </w:tcBorders>
          </w:tcPr>
          <w:p w:rsidR="005D411D" w:rsidRPr="008C6087" w:rsidRDefault="005D411D">
            <w:pPr>
              <w:spacing w:line="240" w:lineRule="auto"/>
              <w:rPr>
                <w:rFonts w:ascii="Lato" w:hAnsi="Lato"/>
                <w:szCs w:val="22"/>
              </w:rPr>
            </w:pPr>
          </w:p>
        </w:tc>
        <w:tc>
          <w:tcPr>
            <w:tcW w:w="590" w:type="dxa"/>
            <w:gridSpan w:val="2"/>
            <w:tcBorders>
              <w:top w:val="nil"/>
              <w:left w:val="nil"/>
              <w:bottom w:val="nil"/>
              <w:right w:val="nil"/>
            </w:tcBorders>
          </w:tcPr>
          <w:p w:rsidR="005D411D" w:rsidRPr="008C6087" w:rsidRDefault="005D411D">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r w:rsidRPr="008C6087">
              <w:rPr>
                <w:rFonts w:ascii="Lato" w:hAnsi="Lato"/>
                <w:szCs w:val="22"/>
              </w:rPr>
              <w:t>d)</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The AIFM must, for each of the EU AIFs that it manages and for each</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rsidP="003D0FC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of the AIFs that it markets in the European Union, periodically disclose to unitholders: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(i)the percentage of the Retail Investor AIF’s assets which are subject</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to special arrangements arising from their illiquid nature</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(ii) any new arrangements for managing the liquidity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Investor AIF</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rsidP="00362BDC">
            <w:pPr>
              <w:spacing w:line="240" w:lineRule="auto"/>
              <w:rPr>
                <w:rFonts w:ascii="Lato" w:hAnsi="Lato"/>
                <w:szCs w:val="22"/>
              </w:rPr>
            </w:pPr>
            <w:r w:rsidRPr="008C6087">
              <w:rPr>
                <w:rFonts w:ascii="Lato" w:hAnsi="Lato"/>
                <w:szCs w:val="22"/>
              </w:rPr>
              <w:t>(iii)the current risk profile of the Retail Investor AIF and the risk</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management systems employed by the AIFM to manage those risks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E3558" w:rsidP="003D0FCC">
            <w:pPr>
              <w:spacing w:line="240" w:lineRule="auto"/>
              <w:jc w:val="right"/>
              <w:rPr>
                <w:rFonts w:ascii="Lato" w:hAnsi="Lato"/>
                <w:szCs w:val="22"/>
              </w:rPr>
            </w:pPr>
            <w:r w:rsidRPr="008C6087">
              <w:rPr>
                <w:rFonts w:ascii="Lato" w:hAnsi="Lato"/>
                <w:szCs w:val="22"/>
              </w:rPr>
              <w:t>e)</w:t>
            </w: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Where the AIFM manages EU AIFs employing leverage it must, for each such AIF disclose, on a regular basis: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(i)any cha</w:t>
            </w:r>
            <w:r w:rsidR="00BD7860" w:rsidRPr="008C6087">
              <w:rPr>
                <w:rFonts w:ascii="Lato" w:hAnsi="Lato"/>
                <w:szCs w:val="22"/>
              </w:rPr>
              <w:t>n</w:t>
            </w:r>
            <w:r w:rsidRPr="008C6087">
              <w:rPr>
                <w:rFonts w:ascii="Lato" w:hAnsi="Lato"/>
                <w:szCs w:val="22"/>
              </w:rPr>
              <w:t>ges to the maximum level of leverage which the AIFM may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 xml:space="preserve">employ on behalf of the AIF as well as any right of The reuse of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362BDC">
            <w:pPr>
              <w:spacing w:line="240" w:lineRule="auto"/>
              <w:rPr>
                <w:rFonts w:ascii="Lato" w:hAnsi="Lato"/>
                <w:szCs w:val="22"/>
              </w:rPr>
            </w:pPr>
            <w:r w:rsidRPr="008C6087">
              <w:rPr>
                <w:rFonts w:ascii="Lato" w:hAnsi="Lato"/>
                <w:szCs w:val="22"/>
              </w:rPr>
              <w:t>collateral or any guarantee granted under the leveraging arrangement</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(ii)the total amount of leverage employed by that AIF</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p>
        </w:tc>
        <w:tc>
          <w:tcPr>
            <w:tcW w:w="7193" w:type="dxa"/>
            <w:gridSpan w:val="2"/>
            <w:tcBorders>
              <w:top w:val="single" w:sz="4" w:space="0" w:color="auto"/>
              <w:left w:val="single" w:sz="4" w:space="0" w:color="auto"/>
              <w:bottom w:val="single" w:sz="4" w:space="0" w:color="auto"/>
              <w:right w:val="single" w:sz="4" w:space="0" w:color="auto"/>
            </w:tcBorders>
          </w:tcPr>
          <w:p w:rsidR="00362BDC" w:rsidRPr="008C6087" w:rsidRDefault="00362BDC" w:rsidP="006803D9">
            <w:pPr>
              <w:pStyle w:val="Heading4"/>
              <w:rPr>
                <w:rFonts w:ascii="Lato" w:hAnsi="Lato"/>
                <w:b w:val="0"/>
                <w:bCs w:val="0"/>
                <w:sz w:val="22"/>
                <w:szCs w:val="22"/>
              </w:rPr>
            </w:pPr>
            <w:r w:rsidRPr="008C6087">
              <w:rPr>
                <w:rFonts w:ascii="Lato" w:hAnsi="Lato"/>
                <w:b w:val="0"/>
                <w:bCs w:val="0"/>
                <w:sz w:val="22"/>
                <w:szCs w:val="22"/>
              </w:rPr>
              <w:t>Subscription and Redemption Procedures</w:t>
            </w:r>
          </w:p>
        </w:tc>
        <w:tc>
          <w:tcPr>
            <w:tcW w:w="737" w:type="dxa"/>
            <w:gridSpan w:val="2"/>
            <w:tcBorders>
              <w:top w:val="nil"/>
              <w:left w:val="single" w:sz="4" w:space="0" w:color="auto"/>
              <w:bottom w:val="nil"/>
              <w:right w:val="nil"/>
            </w:tcBorders>
          </w:tcPr>
          <w:p w:rsidR="00362BDC" w:rsidRPr="008C6087" w:rsidRDefault="00362BDC">
            <w:pPr>
              <w:spacing w:line="240" w:lineRule="auto"/>
              <w:rPr>
                <w:rFonts w:ascii="Lato" w:hAnsi="Lato"/>
                <w:b/>
                <w:bCs/>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b/>
                <w:bCs/>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b/>
                <w:bCs/>
                <w:szCs w:val="22"/>
              </w:rPr>
            </w:pPr>
          </w:p>
        </w:tc>
        <w:tc>
          <w:tcPr>
            <w:tcW w:w="264"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8416" w:type="dxa"/>
            <w:gridSpan w:val="4"/>
            <w:tcBorders>
              <w:top w:val="single" w:sz="4" w:space="0" w:color="auto"/>
              <w:left w:val="nil"/>
              <w:bottom w:val="nil"/>
              <w:right w:val="nil"/>
            </w:tcBorders>
          </w:tcPr>
          <w:p w:rsidR="00362BDC" w:rsidRPr="008C6087" w:rsidRDefault="00362BDC">
            <w:pPr>
              <w:pStyle w:val="Heading3"/>
              <w:spacing w:before="0" w:after="0" w:line="240" w:lineRule="auto"/>
              <w:rPr>
                <w:rFonts w:ascii="Lato" w:hAnsi="Lato"/>
                <w:color w:val="auto"/>
                <w:sz w:val="22"/>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.1</w:t>
            </w:r>
          </w:p>
        </w:tc>
        <w:tc>
          <w:tcPr>
            <w:tcW w:w="7193" w:type="dxa"/>
            <w:gridSpan w:val="2"/>
            <w:tcBorders>
              <w:top w:val="nil"/>
              <w:left w:val="nil"/>
              <w:bottom w:val="nil"/>
              <w:right w:val="single" w:sz="4" w:space="0" w:color="auto"/>
            </w:tcBorders>
          </w:tcPr>
          <w:p w:rsidR="00362BDC" w:rsidRPr="008C6087" w:rsidRDefault="00362BDC" w:rsidP="0064392C">
            <w:pPr>
              <w:spacing w:line="240" w:lineRule="auto"/>
              <w:rPr>
                <w:rFonts w:ascii="Lato" w:hAnsi="Lato"/>
                <w:szCs w:val="22"/>
              </w:rPr>
            </w:pPr>
            <w:r w:rsidRPr="008C6087">
              <w:rPr>
                <w:rFonts w:ascii="Lato" w:hAnsi="Lato"/>
                <w:szCs w:val="22"/>
              </w:rPr>
              <w:t xml:space="preserve">Disclose procedures and conditions for the issue or sale and repurchase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E63F22">
            <w:pPr>
              <w:spacing w:line="240" w:lineRule="auto"/>
              <w:rPr>
                <w:rFonts w:ascii="Lato" w:hAnsi="Lato"/>
                <w:szCs w:val="22"/>
              </w:rPr>
            </w:pPr>
            <w:r w:rsidRPr="008C6087">
              <w:rPr>
                <w:rFonts w:ascii="Lato" w:hAnsi="Lato"/>
                <w:szCs w:val="22"/>
              </w:rPr>
              <w:t xml:space="preserve">or redemption of units/shares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712BD">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.2</w:t>
            </w:r>
          </w:p>
        </w:tc>
        <w:tc>
          <w:tcPr>
            <w:tcW w:w="7193" w:type="dxa"/>
            <w:gridSpan w:val="2"/>
            <w:tcBorders>
              <w:top w:val="nil"/>
              <w:left w:val="nil"/>
              <w:bottom w:val="nil"/>
              <w:right w:val="single" w:sz="4" w:space="0" w:color="auto"/>
            </w:tcBorders>
          </w:tcPr>
          <w:p w:rsidR="00362BDC" w:rsidRPr="008C6087" w:rsidRDefault="00362BDC" w:rsidP="00FE4AA9">
            <w:pPr>
              <w:spacing w:line="240" w:lineRule="auto"/>
              <w:rPr>
                <w:rFonts w:ascii="Lato" w:hAnsi="Lato"/>
                <w:szCs w:val="22"/>
              </w:rPr>
            </w:pPr>
            <w:r w:rsidRPr="008C6087">
              <w:rPr>
                <w:rFonts w:ascii="Lato" w:hAnsi="Lato"/>
                <w:szCs w:val="22"/>
              </w:rPr>
              <w:t xml:space="preserve">Dealing in the units of a Retail Investor AIF </w:t>
            </w:r>
            <w:r w:rsidR="00FE4AA9" w:rsidRPr="008C6087">
              <w:rPr>
                <w:rFonts w:ascii="Lato" w:hAnsi="Lato"/>
                <w:szCs w:val="22"/>
              </w:rPr>
              <w:t xml:space="preserve">shall </w:t>
            </w:r>
            <w:r w:rsidRPr="008C6087">
              <w:rPr>
                <w:rFonts w:ascii="Lato" w:hAnsi="Lato"/>
                <w:szCs w:val="22"/>
              </w:rPr>
              <w:t xml:space="preserve">be carried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D011A">
            <w:pPr>
              <w:spacing w:line="240" w:lineRule="auto"/>
              <w:rPr>
                <w:rFonts w:ascii="Lato" w:hAnsi="Lato"/>
                <w:szCs w:val="22"/>
              </w:rPr>
            </w:pPr>
            <w:r w:rsidRPr="008C6087">
              <w:rPr>
                <w:rFonts w:ascii="Lato" w:hAnsi="Lato"/>
                <w:szCs w:val="22"/>
              </w:rPr>
              <w:t>out at forward prices i.e. the Net Asset Value next computed after receipt of subscription and redemption requests.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.3</w:t>
            </w:r>
          </w:p>
        </w:tc>
        <w:tc>
          <w:tcPr>
            <w:tcW w:w="7193" w:type="dxa"/>
            <w:gridSpan w:val="2"/>
            <w:tcBorders>
              <w:top w:val="nil"/>
              <w:left w:val="nil"/>
              <w:bottom w:val="nil"/>
              <w:right w:val="single" w:sz="4" w:space="0" w:color="auto"/>
            </w:tcBorders>
          </w:tcPr>
          <w:p w:rsidR="00362BDC" w:rsidRPr="008C6087" w:rsidRDefault="00362BDC" w:rsidP="008C6087">
            <w:pPr>
              <w:spacing w:line="240" w:lineRule="auto"/>
              <w:rPr>
                <w:rFonts w:ascii="Lato" w:hAnsi="Lato"/>
                <w:szCs w:val="22"/>
              </w:rPr>
            </w:pPr>
            <w:r w:rsidRPr="008C6087">
              <w:rPr>
                <w:rFonts w:ascii="Lato" w:hAnsi="Lato"/>
                <w:szCs w:val="22"/>
              </w:rPr>
              <w:t>Disclose a description of the Retail Investor AIF’s liquidity risk</w:t>
            </w:r>
            <w:r w:rsidR="00B7175D"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8B672F">
            <w:pPr>
              <w:spacing w:line="240" w:lineRule="auto"/>
              <w:rPr>
                <w:rFonts w:ascii="Lato" w:hAnsi="Lato"/>
                <w:szCs w:val="22"/>
              </w:rPr>
            </w:pPr>
            <w:r w:rsidRPr="00C21C70">
              <w:rPr>
                <w:rFonts w:ascii="Lato" w:hAnsi="Lato"/>
                <w:szCs w:val="22"/>
              </w:rPr>
              <w:t>management</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8B672F" w:rsidRPr="008C6087" w:rsidTr="00E2618B">
        <w:trPr>
          <w:gridAfter w:val="1"/>
          <w:wAfter w:w="3686" w:type="dxa"/>
        </w:trPr>
        <w:tc>
          <w:tcPr>
            <w:tcW w:w="1223"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193" w:type="dxa"/>
            <w:gridSpan w:val="2"/>
            <w:tcBorders>
              <w:top w:val="nil"/>
              <w:left w:val="nil"/>
              <w:bottom w:val="nil"/>
              <w:right w:val="nil"/>
            </w:tcBorders>
          </w:tcPr>
          <w:p w:rsidR="008B672F" w:rsidRPr="00C21C70" w:rsidRDefault="008B672F">
            <w:pPr>
              <w:spacing w:line="240" w:lineRule="auto"/>
              <w:rPr>
                <w:rFonts w:ascii="Lato" w:hAnsi="Lato"/>
                <w:szCs w:val="22"/>
              </w:rPr>
            </w:pPr>
          </w:p>
        </w:tc>
        <w:tc>
          <w:tcPr>
            <w:tcW w:w="737"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36"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709" w:type="dxa"/>
            <w:gridSpan w:val="3"/>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455" w:type="dxa"/>
            <w:gridSpan w:val="2"/>
            <w:tcBorders>
              <w:top w:val="nil"/>
              <w:left w:val="nil"/>
              <w:bottom w:val="nil"/>
              <w:right w:val="nil"/>
            </w:tcBorders>
          </w:tcPr>
          <w:p w:rsidR="008B672F" w:rsidRPr="008C6087" w:rsidRDefault="008B672F">
            <w:pPr>
              <w:spacing w:line="240" w:lineRule="auto"/>
              <w:rPr>
                <w:rFonts w:ascii="Lato" w:hAnsi="Lato"/>
                <w:szCs w:val="22"/>
              </w:rPr>
            </w:pPr>
          </w:p>
        </w:tc>
        <w:tc>
          <w:tcPr>
            <w:tcW w:w="264" w:type="dxa"/>
            <w:gridSpan w:val="4"/>
            <w:tcBorders>
              <w:top w:val="nil"/>
              <w:left w:val="nil"/>
              <w:bottom w:val="nil"/>
              <w:right w:val="nil"/>
            </w:tcBorders>
          </w:tcPr>
          <w:p w:rsidR="008B672F" w:rsidRPr="008C6087" w:rsidRDefault="008B672F">
            <w:pPr>
              <w:spacing w:line="240" w:lineRule="auto"/>
              <w:rPr>
                <w:rFonts w:ascii="Lato" w:hAnsi="Lato"/>
                <w:szCs w:val="22"/>
              </w:rPr>
            </w:pPr>
          </w:p>
        </w:tc>
        <w:tc>
          <w:tcPr>
            <w:tcW w:w="590" w:type="dxa"/>
            <w:gridSpan w:val="2"/>
            <w:tcBorders>
              <w:top w:val="nil"/>
              <w:left w:val="nil"/>
              <w:bottom w:val="nil"/>
              <w:right w:val="nil"/>
            </w:tcBorders>
          </w:tcPr>
          <w:p w:rsidR="008B672F" w:rsidRPr="008C6087" w:rsidRDefault="008B672F">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4</w:t>
            </w: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u w:val="single"/>
              </w:rPr>
              <w:t>Dealing Day(s)</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62BDC" w:rsidRPr="008C6087" w:rsidRDefault="00362BDC" w:rsidP="009F373B">
            <w:pPr>
              <w:spacing w:line="240" w:lineRule="auto"/>
              <w:rPr>
                <w:rFonts w:ascii="Lato" w:hAnsi="Lato"/>
                <w:szCs w:val="22"/>
              </w:rPr>
            </w:pPr>
            <w:r w:rsidRPr="008C6087">
              <w:rPr>
                <w:rFonts w:ascii="Lato" w:hAnsi="Lato"/>
                <w:szCs w:val="22"/>
              </w:rPr>
              <w:t xml:space="preserve">Where the Retail Investor AIF is open-ended, confirm that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903969">
            <w:pPr>
              <w:spacing w:line="240" w:lineRule="auto"/>
              <w:rPr>
                <w:rFonts w:ascii="Lato" w:hAnsi="Lato"/>
                <w:szCs w:val="22"/>
              </w:rPr>
            </w:pPr>
            <w:r w:rsidRPr="008C6087">
              <w:rPr>
                <w:rFonts w:ascii="Lato" w:hAnsi="Lato"/>
                <w:szCs w:val="22"/>
              </w:rPr>
              <w:t>at least one dealing day per month is provided for.</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‘or’</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provided there is at least one per month</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and</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jc w:val="right"/>
              <w:rPr>
                <w:rFonts w:ascii="Lato" w:hAnsi="Lato"/>
                <w:szCs w:val="22"/>
              </w:rPr>
            </w:pPr>
            <w:r w:rsidRPr="008C6087">
              <w:rPr>
                <w:rFonts w:ascii="Lato" w:hAnsi="Lato"/>
                <w:szCs w:val="22"/>
              </w:rPr>
              <w:t>(ii)</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 xml:space="preserve">     </w:t>
            </w: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 xml:space="preserve">If the prospectus provides for </w:t>
            </w:r>
            <w:r w:rsidRPr="008C6087">
              <w:rPr>
                <w:rFonts w:ascii="Lato" w:hAnsi="Lato"/>
                <w:b/>
                <w:bCs/>
                <w:szCs w:val="22"/>
              </w:rPr>
              <w:t>‘and’</w:t>
            </w:r>
            <w:r w:rsidRPr="008C6087">
              <w:rPr>
                <w:rFonts w:ascii="Lato" w:hAnsi="Lato"/>
                <w:szCs w:val="22"/>
              </w:rPr>
              <w:t xml:space="preserve"> such other dealing days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as the Directors determine, insert:</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all shareholders/unitholders will be notified in advance</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E2618B">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pStyle w:val="Heading1"/>
              <w:spacing w:before="0" w:after="0" w:line="240" w:lineRule="auto"/>
              <w:rPr>
                <w:rFonts w:ascii="Lato" w:hAnsi="Lato"/>
                <w:i/>
                <w:color w:val="auto"/>
                <w:sz w:val="22"/>
                <w:szCs w:val="22"/>
                <w:u w:val="single"/>
              </w:rPr>
            </w:pPr>
            <w:r w:rsidRPr="008C6087">
              <w:rPr>
                <w:rFonts w:ascii="Lato" w:hAnsi="Lato"/>
                <w:color w:val="auto"/>
                <w:sz w:val="22"/>
                <w:szCs w:val="22"/>
                <w:u w:val="single"/>
              </w:rPr>
              <w:t>Subscriptions</w:t>
            </w:r>
          </w:p>
        </w:tc>
        <w:tc>
          <w:tcPr>
            <w:tcW w:w="737"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r w:rsidRPr="008C6087">
              <w:rPr>
                <w:rFonts w:ascii="Lato" w:hAnsi="Lato"/>
                <w:szCs w:val="22"/>
              </w:rPr>
              <w:t>Disclose</w:t>
            </w: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5</w:t>
            </w:r>
          </w:p>
        </w:tc>
        <w:tc>
          <w:tcPr>
            <w:tcW w:w="7193" w:type="dxa"/>
            <w:gridSpan w:val="2"/>
            <w:tcBorders>
              <w:top w:val="nil"/>
              <w:left w:val="nil"/>
              <w:bottom w:val="nil"/>
              <w:right w:val="single" w:sz="4" w:space="0" w:color="auto"/>
            </w:tcBorders>
          </w:tcPr>
          <w:p w:rsidR="00362BDC" w:rsidRPr="008C6087" w:rsidRDefault="00362BDC" w:rsidP="005418AB">
            <w:pPr>
              <w:spacing w:line="240" w:lineRule="auto"/>
              <w:rPr>
                <w:rFonts w:ascii="Lato" w:hAnsi="Lato"/>
                <w:szCs w:val="22"/>
              </w:rPr>
            </w:pPr>
            <w:r w:rsidRPr="008C6087">
              <w:rPr>
                <w:rFonts w:ascii="Lato" w:hAnsi="Lato"/>
                <w:szCs w:val="22"/>
              </w:rPr>
              <w:t xml:space="preserve">The method and frequency of the calculation of sale or issue </w:t>
            </w:r>
            <w:r w:rsidR="00A32B81" w:rsidRPr="008C6087">
              <w:rPr>
                <w:rFonts w:ascii="Lato" w:hAnsi="Lato"/>
                <w:szCs w:val="22"/>
              </w:rPr>
              <w:t>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5418AB">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6</w:t>
            </w:r>
          </w:p>
        </w:tc>
        <w:tc>
          <w:tcPr>
            <w:tcW w:w="7193" w:type="dxa"/>
            <w:gridSpan w:val="2"/>
            <w:tcBorders>
              <w:top w:val="nil"/>
              <w:left w:val="nil"/>
              <w:bottom w:val="nil"/>
              <w:right w:val="single" w:sz="4" w:space="0" w:color="auto"/>
            </w:tcBorders>
          </w:tcPr>
          <w:p w:rsidR="00362BDC" w:rsidRPr="008C6087" w:rsidRDefault="00362BDC" w:rsidP="00F26116">
            <w:pPr>
              <w:spacing w:line="240" w:lineRule="auto"/>
              <w:rPr>
                <w:rFonts w:ascii="Lato" w:hAnsi="Lato"/>
                <w:szCs w:val="22"/>
              </w:rPr>
            </w:pPr>
            <w:r w:rsidRPr="008C6087">
              <w:rPr>
                <w:rFonts w:ascii="Lato" w:hAnsi="Lato"/>
                <w:szCs w:val="22"/>
              </w:rPr>
              <w:t xml:space="preserve">Disclose that units of the Retail Investor AIF will be issued or sold at a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3C3E16">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722E56">
            <w:pPr>
              <w:spacing w:line="240" w:lineRule="auto"/>
              <w:rPr>
                <w:rFonts w:ascii="Lato" w:hAnsi="Lato"/>
                <w:szCs w:val="22"/>
              </w:rPr>
            </w:pPr>
            <w:r w:rsidRPr="008C6087">
              <w:rPr>
                <w:rFonts w:ascii="Lato" w:hAnsi="Lato"/>
                <w:szCs w:val="22"/>
              </w:rPr>
              <w:t>price arrived at by dividing the net asset value of the Retail Investor AIF by the number of units outstanding; such price may be increased by duties and charges.</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7</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maximum subscription charge (if any);</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nil"/>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8</w:t>
            </w:r>
          </w:p>
        </w:tc>
        <w:tc>
          <w:tcPr>
            <w:tcW w:w="7193" w:type="dxa"/>
            <w:gridSpan w:val="2"/>
            <w:tcBorders>
              <w:top w:val="nil"/>
              <w:left w:val="nil"/>
              <w:bottom w:val="nil"/>
              <w:right w:val="single" w:sz="4" w:space="0" w:color="auto"/>
            </w:tcBorders>
          </w:tcPr>
          <w:p w:rsidR="00362BDC" w:rsidRPr="008C6087" w:rsidRDefault="00362BDC">
            <w:pPr>
              <w:spacing w:line="240" w:lineRule="auto"/>
              <w:rPr>
                <w:rFonts w:ascii="Lato" w:hAnsi="Lato"/>
                <w:szCs w:val="22"/>
              </w:rPr>
            </w:pPr>
            <w:r w:rsidRPr="008C6087">
              <w:rPr>
                <w:rFonts w:ascii="Lato" w:hAnsi="Lato"/>
                <w:szCs w:val="22"/>
              </w:rPr>
              <w:t>The initial offer price;</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rsidP="00F55590">
            <w:pPr>
              <w:spacing w:line="240" w:lineRule="auto"/>
              <w:rPr>
                <w:rFonts w:ascii="Lato" w:hAnsi="Lato"/>
                <w:szCs w:val="22"/>
              </w:rPr>
            </w:pPr>
            <w:r w:rsidRPr="008C6087">
              <w:rPr>
                <w:rFonts w:ascii="Lato" w:hAnsi="Lato"/>
                <w:szCs w:val="22"/>
              </w:rPr>
              <w:t>2.1</w:t>
            </w:r>
            <w:r w:rsidR="00F55590" w:rsidRPr="008C6087">
              <w:rPr>
                <w:rFonts w:ascii="Lato" w:hAnsi="Lato"/>
                <w:szCs w:val="22"/>
              </w:rPr>
              <w:t>2</w:t>
            </w:r>
            <w:r w:rsidRPr="008C6087">
              <w:rPr>
                <w:rFonts w:ascii="Lato" w:hAnsi="Lato"/>
                <w:szCs w:val="22"/>
              </w:rPr>
              <w:t>.</w:t>
            </w:r>
            <w:r w:rsidR="00CF4050" w:rsidRPr="008C6087">
              <w:rPr>
                <w:rFonts w:ascii="Lato" w:hAnsi="Lato"/>
                <w:szCs w:val="22"/>
              </w:rPr>
              <w:t>9</w:t>
            </w:r>
          </w:p>
        </w:tc>
        <w:tc>
          <w:tcPr>
            <w:tcW w:w="7193" w:type="dxa"/>
            <w:gridSpan w:val="2"/>
            <w:tcBorders>
              <w:top w:val="nil"/>
              <w:left w:val="nil"/>
              <w:bottom w:val="nil"/>
              <w:right w:val="single" w:sz="4" w:space="0" w:color="auto"/>
            </w:tcBorders>
          </w:tcPr>
          <w:p w:rsidR="00362BDC" w:rsidRPr="008C6087" w:rsidRDefault="00362BDC" w:rsidP="005D011A">
            <w:pPr>
              <w:spacing w:line="240" w:lineRule="auto"/>
              <w:rPr>
                <w:rFonts w:ascii="Lato" w:hAnsi="Lato"/>
                <w:szCs w:val="22"/>
              </w:rPr>
            </w:pPr>
            <w:r w:rsidRPr="008C6087">
              <w:rPr>
                <w:rFonts w:ascii="Lato" w:hAnsi="Lato"/>
                <w:szCs w:val="22"/>
              </w:rPr>
              <w:t xml:space="preserve">The initial offer period; </w:t>
            </w:r>
          </w:p>
        </w:tc>
        <w:tc>
          <w:tcPr>
            <w:tcW w:w="737"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62BDC" w:rsidRPr="008C6087" w:rsidRDefault="00362BDC">
            <w:pPr>
              <w:spacing w:line="240" w:lineRule="auto"/>
              <w:rPr>
                <w:rFonts w:ascii="Lato" w:hAnsi="Lato"/>
                <w:szCs w:val="22"/>
              </w:rPr>
            </w:pPr>
          </w:p>
        </w:tc>
        <w:tc>
          <w:tcPr>
            <w:tcW w:w="264" w:type="dxa"/>
            <w:gridSpan w:val="4"/>
            <w:tcBorders>
              <w:top w:val="nil"/>
              <w:left w:val="single" w:sz="4" w:space="0" w:color="auto"/>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62BDC" w:rsidRPr="008C6087" w:rsidTr="008C6087">
        <w:trPr>
          <w:gridAfter w:val="1"/>
          <w:wAfter w:w="3686" w:type="dxa"/>
        </w:trPr>
        <w:tc>
          <w:tcPr>
            <w:tcW w:w="1223"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193" w:type="dxa"/>
            <w:gridSpan w:val="2"/>
            <w:tcBorders>
              <w:top w:val="nil"/>
              <w:left w:val="nil"/>
              <w:bottom w:val="nil"/>
              <w:right w:val="nil"/>
            </w:tcBorders>
          </w:tcPr>
          <w:p w:rsidR="00362BDC" w:rsidRPr="008C6087" w:rsidRDefault="00362BDC" w:rsidP="00C60858">
            <w:pPr>
              <w:spacing w:line="240" w:lineRule="auto"/>
              <w:rPr>
                <w:rFonts w:ascii="Lato" w:hAnsi="Lato"/>
                <w:szCs w:val="22"/>
              </w:rPr>
            </w:pPr>
            <w:r w:rsidRPr="008C6087">
              <w:rPr>
                <w:rFonts w:ascii="Lato" w:hAnsi="Lato"/>
                <w:szCs w:val="22"/>
              </w:rPr>
              <w:t xml:space="preserve">Note: The offer period cannot commence prior to the authorisation of the Retail Investor AIF or approval in the case of a sub-fund and must be for a period no longer than six months.  </w:t>
            </w:r>
          </w:p>
        </w:tc>
        <w:tc>
          <w:tcPr>
            <w:tcW w:w="737"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36"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709" w:type="dxa"/>
            <w:gridSpan w:val="3"/>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2"/>
            <w:tcBorders>
              <w:top w:val="nil"/>
              <w:left w:val="nil"/>
              <w:bottom w:val="nil"/>
              <w:right w:val="nil"/>
            </w:tcBorders>
          </w:tcPr>
          <w:p w:rsidR="00362BDC" w:rsidRPr="008C6087" w:rsidRDefault="00362BDC">
            <w:pPr>
              <w:spacing w:line="240" w:lineRule="auto"/>
              <w:rPr>
                <w:rFonts w:ascii="Lato" w:hAnsi="Lato"/>
                <w:szCs w:val="22"/>
              </w:rPr>
            </w:pPr>
          </w:p>
        </w:tc>
        <w:tc>
          <w:tcPr>
            <w:tcW w:w="455" w:type="dxa"/>
            <w:gridSpan w:val="2"/>
            <w:tcBorders>
              <w:top w:val="single" w:sz="4" w:space="0" w:color="auto"/>
              <w:left w:val="nil"/>
              <w:bottom w:val="nil"/>
              <w:right w:val="nil"/>
            </w:tcBorders>
          </w:tcPr>
          <w:p w:rsidR="00362BDC" w:rsidRPr="008C6087" w:rsidRDefault="00362BDC">
            <w:pPr>
              <w:spacing w:line="240" w:lineRule="auto"/>
              <w:rPr>
                <w:rFonts w:ascii="Lato" w:hAnsi="Lato"/>
                <w:szCs w:val="22"/>
              </w:rPr>
            </w:pPr>
          </w:p>
        </w:tc>
        <w:tc>
          <w:tcPr>
            <w:tcW w:w="264" w:type="dxa"/>
            <w:gridSpan w:val="4"/>
            <w:tcBorders>
              <w:top w:val="nil"/>
              <w:left w:val="nil"/>
              <w:bottom w:val="nil"/>
              <w:right w:val="nil"/>
            </w:tcBorders>
          </w:tcPr>
          <w:p w:rsidR="00362BDC" w:rsidRPr="008C6087" w:rsidRDefault="00362BDC">
            <w:pPr>
              <w:spacing w:line="240" w:lineRule="auto"/>
              <w:rPr>
                <w:rFonts w:ascii="Lato" w:hAnsi="Lato"/>
                <w:szCs w:val="22"/>
              </w:rPr>
            </w:pPr>
          </w:p>
        </w:tc>
        <w:tc>
          <w:tcPr>
            <w:tcW w:w="590" w:type="dxa"/>
            <w:gridSpan w:val="2"/>
            <w:tcBorders>
              <w:top w:val="nil"/>
              <w:left w:val="nil"/>
              <w:bottom w:val="nil"/>
              <w:right w:val="nil"/>
            </w:tcBorders>
          </w:tcPr>
          <w:p w:rsidR="00362BDC" w:rsidRPr="008C6087" w:rsidRDefault="00362BDC">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 the case of Retail Investor AIFs which are established as venture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capital, development capital, private equity or real estate Retail Investor AIFs this period may extend up to one year provided that the terms of the offer ensure that early unitholders are not prejudiced by the arrangements.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Where the Retail Investor AIFs have multiple closings, this period must commence no later than the date of first closing.</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2.12.10</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Details of how ownership will be confirmed e.g. unit/share</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certificates or </w:t>
            </w:r>
            <w:r w:rsidRPr="008C6087">
              <w:rPr>
                <w:rFonts w:ascii="Lato" w:hAnsi="Lato"/>
                <w:szCs w:val="22"/>
                <w:u w:val="single"/>
              </w:rPr>
              <w:t>written</w:t>
            </w:r>
            <w:r w:rsidRPr="008C6087">
              <w:rPr>
                <w:rFonts w:ascii="Lato" w:hAnsi="Lato"/>
                <w:szCs w:val="22"/>
              </w:rPr>
              <w:t xml:space="preserve"> confirmation of entry on the register;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2.12.11</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u w:val="single"/>
              </w:rPr>
            </w:pPr>
            <w:r w:rsidRPr="008C6087">
              <w:rPr>
                <w:rFonts w:ascii="Lato" w:hAnsi="Lato"/>
                <w:szCs w:val="22"/>
              </w:rPr>
              <w:t>Disclose the types and main characteristics of the units and in particular:</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 xml:space="preserve">the nature of the right (real, personal or other)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represented by the unit;</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0"/>
              </w:numPr>
              <w:spacing w:line="240" w:lineRule="auto"/>
              <w:ind w:left="450" w:hanging="426"/>
              <w:rPr>
                <w:rFonts w:ascii="Lato" w:hAnsi="Lato"/>
                <w:szCs w:val="22"/>
              </w:rPr>
            </w:pPr>
            <w:r w:rsidRPr="008C6087">
              <w:rPr>
                <w:rFonts w:ascii="Lato" w:hAnsi="Lato"/>
                <w:szCs w:val="22"/>
              </w:rPr>
              <w:t>whether there are original securities or certificates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providing evidence of title;  </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state that they are is entry in a register or in an account;</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9"/>
              </w:numPr>
              <w:spacing w:line="240" w:lineRule="auto"/>
              <w:ind w:left="450" w:hanging="450"/>
              <w:rPr>
                <w:rFonts w:ascii="Lato" w:hAnsi="Lato"/>
                <w:szCs w:val="22"/>
              </w:rPr>
            </w:pPr>
            <w:r w:rsidRPr="008C6087">
              <w:rPr>
                <w:rFonts w:ascii="Lato" w:hAnsi="Lato"/>
                <w:szCs w:val="22"/>
              </w:rPr>
              <w:t>the characteristics of the units;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state that they are registered;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18"/>
              </w:numPr>
              <w:spacing w:line="240" w:lineRule="auto"/>
              <w:ind w:left="357"/>
              <w:rPr>
                <w:rFonts w:ascii="Lato" w:hAnsi="Lato"/>
                <w:szCs w:val="22"/>
              </w:rPr>
            </w:pPr>
            <w:r w:rsidRPr="008C6087">
              <w:rPr>
                <w:rFonts w:ascii="Lato" w:hAnsi="Lato"/>
                <w:szCs w:val="22"/>
              </w:rPr>
              <w:t>give an indication of any denominations which</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may be provided for;</w:t>
            </w: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an indication of unitholders’ voting rights; and</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numPr>
                <w:ilvl w:val="0"/>
                <w:numId w:val="21"/>
              </w:numPr>
              <w:spacing w:line="240" w:lineRule="auto"/>
              <w:ind w:left="450" w:hanging="426"/>
              <w:rPr>
                <w:rFonts w:ascii="Lato" w:hAnsi="Lato"/>
                <w:szCs w:val="22"/>
              </w:rPr>
            </w:pPr>
            <w:r w:rsidRPr="008C6087">
              <w:rPr>
                <w:rFonts w:ascii="Lato" w:hAnsi="Lato"/>
                <w:szCs w:val="22"/>
              </w:rPr>
              <w:t xml:space="preserve">the circumstances in which winding-up of the Retail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Investor AIF can be decided on and winding-up procedure, in particular as regards the rights of unitholders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u w:val="single"/>
              </w:rPr>
            </w:pPr>
            <w:r w:rsidRPr="008C6087">
              <w:rPr>
                <w:rFonts w:ascii="Lato" w:hAnsi="Lato"/>
                <w:color w:val="auto"/>
                <w:sz w:val="22"/>
                <w:szCs w:val="22"/>
                <w:u w:val="single"/>
              </w:rPr>
              <w:t>Redemptions</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2.12.12</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method and frequency of the calculation of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price of units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2.12.13</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that units shall be redeemed or repurchased at a price arrived at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by dividing the net asset value of the Retail Investor AIF by the number of units outstanding; such price may be decreased by duties and charges.</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An open-ended Retail Investor AIF must provide redemption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facilities on at least a monthly basis</w:t>
            </w:r>
          </w:p>
          <w:p w:rsidR="003D589F" w:rsidRPr="008C6087" w:rsidRDefault="003D589F" w:rsidP="003D589F">
            <w:pPr>
              <w:spacing w:line="240" w:lineRule="auto"/>
              <w:rPr>
                <w:rFonts w:ascii="Lato" w:hAnsi="Lato"/>
                <w:szCs w:val="22"/>
              </w:rPr>
            </w:pPr>
          </w:p>
        </w:tc>
        <w:tc>
          <w:tcPr>
            <w:tcW w:w="737"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For an open-ended Retail Investor AIF with limited liquidity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dealing frequency and minimum redemption quotas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an open-ended investment fund with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limited liquidity, the limited nature of the redemption facilities must be clearly outlined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2.12.14</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Charge</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Disclose the maximum redemption charge, if any (This charge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must not exceed 3% for an open-ended Retail Investor AIF)</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Disclose the charge in bold at the beginning of the prospectus</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rPr>
              <w:t>Disclose details of any contingent deferred sales charge (if any)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2.12.15</w:t>
            </w: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u w:val="single"/>
              </w:rPr>
              <w:t>Settlement Period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Indicate the period within which redemption proceeds will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normally be paid or discharged to investors.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this paragraph does not apply to funds which are classified as open-ended with limited liquidity)</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period between the dealing deadline for redemption</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requests and payment of the Retail Investor AIF to investors should reflect the frequency of dealing i.e. daily, weekly and in any event should not exceed 30 calendar days from the dealing deadline.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The following provisions may be inserted</w:t>
            </w: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2.12.16</w:t>
            </w:r>
          </w:p>
        </w:tc>
        <w:tc>
          <w:tcPr>
            <w:tcW w:w="7193" w:type="dxa"/>
            <w:gridSpan w:val="2"/>
            <w:tcBorders>
              <w:top w:val="nil"/>
              <w:left w:val="nil"/>
              <w:bottom w:val="nil"/>
              <w:right w:val="single" w:sz="4" w:space="0" w:color="auto"/>
            </w:tcBorders>
          </w:tcPr>
          <w:p w:rsidR="003D589F" w:rsidRPr="008C6087" w:rsidRDefault="003D589F" w:rsidP="003D589F">
            <w:pPr>
              <w:pStyle w:val="Heading1"/>
              <w:spacing w:before="0" w:after="0" w:line="240" w:lineRule="auto"/>
              <w:rPr>
                <w:rFonts w:ascii="Lato" w:hAnsi="Lato"/>
                <w:b/>
                <w:bCs/>
                <w:color w:val="auto"/>
                <w:sz w:val="22"/>
                <w:szCs w:val="22"/>
              </w:rPr>
            </w:pPr>
            <w:r w:rsidRPr="008C6087">
              <w:rPr>
                <w:rFonts w:ascii="Lato" w:hAnsi="Lato"/>
                <w:color w:val="auto"/>
                <w:sz w:val="22"/>
                <w:szCs w:val="22"/>
              </w:rPr>
              <w:t>Provide that if total requests for redemption on any Dealing</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Day for the Retail Investor AIF</w:t>
            </w:r>
            <w:r w:rsidRPr="008C6087" w:rsidDel="002B4BC3">
              <w:rPr>
                <w:rFonts w:ascii="Lato" w:hAnsi="Lato"/>
                <w:szCs w:val="22"/>
              </w:rPr>
              <w:t xml:space="preserve"> </w:t>
            </w:r>
            <w:r w:rsidRPr="008C6087">
              <w:rPr>
                <w:rFonts w:ascii="Lato" w:hAnsi="Lato"/>
                <w:szCs w:val="22"/>
              </w:rPr>
              <w:t>/sub-fund exceed 10% of the total number of units/shares in the Retail Investor AIF</w:t>
            </w:r>
            <w:r w:rsidRPr="008C6087" w:rsidDel="002B4BC3">
              <w:rPr>
                <w:rFonts w:ascii="Lato" w:hAnsi="Lato"/>
                <w:szCs w:val="22"/>
              </w:rPr>
              <w:t xml:space="preserve"> </w:t>
            </w:r>
            <w:r w:rsidRPr="008C6087">
              <w:rPr>
                <w:rFonts w:ascii="Lato" w:hAnsi="Lato"/>
                <w:szCs w:val="22"/>
              </w:rPr>
              <w:t xml:space="preserve">/sub-fund, the Directors may in their discretion refuse to redeem any units/shares in excess of 10%. Any request for redemption on such Dealing Day shall be reduced rateably and the redemption requests shall be treated as if they were received on each subsequent Dealing Day until all the units/shares to which the original request related have been redeemed. </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2.12.17</w:t>
            </w:r>
          </w:p>
        </w:tc>
        <w:tc>
          <w:tcPr>
            <w:tcW w:w="7193"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Redemption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Where the prospectus provides for redemption in specie provide that:</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a) </w:t>
            </w:r>
          </w:p>
        </w:tc>
        <w:tc>
          <w:tcPr>
            <w:tcW w:w="7193"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Redemption in specie is at the discretion of the Retail Investor AIF </w:t>
            </w:r>
            <w:r w:rsidRPr="008C6087">
              <w:rPr>
                <w:rFonts w:ascii="Lato" w:hAnsi="Lato"/>
                <w:szCs w:val="22"/>
                <w:u w:val="single"/>
              </w:rPr>
              <w:t>and</w:t>
            </w:r>
            <w:r w:rsidRPr="008C6087">
              <w:rPr>
                <w:rFonts w:ascii="Lato" w:hAnsi="Lato"/>
                <w:szCs w:val="22"/>
              </w:rPr>
              <w:t xml:space="preserv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with</w:t>
            </w:r>
            <w:r w:rsidRPr="002A62A4">
              <w:rPr>
                <w:rFonts w:ascii="Lato" w:hAnsi="Lato"/>
                <w:szCs w:val="22"/>
              </w:rPr>
              <w:t xml:space="preserve"> </w:t>
            </w:r>
            <w:r w:rsidR="003D589F" w:rsidRPr="008C6087">
              <w:rPr>
                <w:rFonts w:ascii="Lato" w:hAnsi="Lato"/>
                <w:szCs w:val="22"/>
              </w:rPr>
              <w:t>the consent of the redeeming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pStyle w:val="Header"/>
              <w:tabs>
                <w:tab w:val="clear" w:pos="4320"/>
                <w:tab w:val="clear" w:pos="8640"/>
              </w:tabs>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b) </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Asset allocation is subject to the approval of the depositary;</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and</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37"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7193"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A determination to provide redemption in specie may be solely at the </w:t>
            </w:r>
          </w:p>
        </w:tc>
        <w:tc>
          <w:tcPr>
            <w:tcW w:w="737"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jc w:val="both"/>
              <w:rPr>
                <w:rFonts w:ascii="Lato" w:hAnsi="Lato"/>
                <w:szCs w:val="22"/>
              </w:rPr>
            </w:pPr>
            <w:r w:rsidRPr="008C6087">
              <w:rPr>
                <w:rFonts w:ascii="Lato" w:hAnsi="Lato"/>
                <w:szCs w:val="22"/>
              </w:rPr>
              <w:t>discretion of the Retail Investor AIF where the redeeming shareholder/unitholder requests redemption of a number of units that represent 5% or more of the net asset value of the Retail Investor AIF.  In this event the Retail Investor AIF will, if requested, sell the assets on behalf of the shareholder/unitholder.  The cost of the sale can be charged to the shareholder/unitholder.</w:t>
            </w:r>
          </w:p>
        </w:tc>
        <w:tc>
          <w:tcPr>
            <w:tcW w:w="737"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1"/>
          <w:wAfter w:w="3686" w:type="dxa"/>
        </w:trPr>
        <w:tc>
          <w:tcPr>
            <w:tcW w:w="122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193"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(n/a for an exchange traded fund where the original subscription was made in specie)</w:t>
            </w:r>
          </w:p>
        </w:tc>
        <w:tc>
          <w:tcPr>
            <w:tcW w:w="737"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90"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2.13</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Dealing Procedures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2.13.1</w:t>
            </w: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r w:rsidRPr="008C6087">
              <w:rPr>
                <w:rFonts w:ascii="Lato" w:hAnsi="Lato"/>
                <w:color w:val="auto"/>
                <w:sz w:val="22"/>
                <w:szCs w:val="22"/>
              </w:rPr>
              <w:t>Subscription and redemptions by way of original documentation</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pStyle w:val="Heading1"/>
              <w:spacing w:before="0" w:after="0" w:line="240" w:lineRule="auto"/>
              <w:rPr>
                <w:rFonts w:ascii="Lato" w:hAnsi="Lato"/>
                <w:color w:val="auto"/>
                <w:sz w:val="22"/>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Provide that applications for</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  subscriptions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(ii) redemptions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are made to the manager/administrator by way of a signed original subscription/redemption application form</w:t>
            </w:r>
          </w:p>
          <w:p w:rsidR="003D589F" w:rsidRPr="008C6087" w:rsidRDefault="003D589F" w:rsidP="003D589F">
            <w:pPr>
              <w:spacing w:line="240" w:lineRule="auto"/>
              <w:rPr>
                <w:rFonts w:ascii="Lato" w:hAnsi="Lato"/>
                <w:szCs w:val="22"/>
              </w:rPr>
            </w:pP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b)</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Where the Retail Investor AIF is open-ended Retail Investor AIF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Disclose that</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provides redemption facilities on at least a monthly basis;</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It redeems when requested at least 10% of net assets; and</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It will not impose a redemption fee in excess of 3% of net asset value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per unit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c)</w:t>
            </w: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If the Retail Investor AIF:</w:t>
            </w: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offers redemption and/or settlement facilities on a less than</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monthly basis; and/or</w:t>
            </w:r>
          </w:p>
        </w:tc>
        <w:tc>
          <w:tcPr>
            <w:tcW w:w="992"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r w:rsidRPr="008C6087">
              <w:rPr>
                <w:rFonts w:ascii="Lato" w:hAnsi="Lato"/>
                <w:szCs w:val="22"/>
              </w:rPr>
              <w:t>(ii)</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provides for a period of greater than 30 days between the</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jc w:val="right"/>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dealing deadline and the payment of redemption proceeds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 xml:space="preserve">Ensure that they classify themselves as an open-ended </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Del="009F373B" w:rsidRDefault="003D589F" w:rsidP="003D589F">
            <w:pPr>
              <w:spacing w:line="240" w:lineRule="auto"/>
              <w:rPr>
                <w:rFonts w:ascii="Lato" w:hAnsi="Lato"/>
                <w:szCs w:val="22"/>
              </w:rPr>
            </w:pPr>
            <w:r w:rsidRPr="008C6087">
              <w:rPr>
                <w:rFonts w:ascii="Lato" w:hAnsi="Lato"/>
                <w:szCs w:val="22"/>
              </w:rPr>
              <w:t>Retail Investor AIF with limited liquidity</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2.14</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Suspensions of the calculation of NAV and repurchase or redemption of shares</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List circumstances in which the calculation of the NAV and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repurchase or redemption may be temporarily suspended</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2.14.2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A management company/general partner/investment company/ICAV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which</w:t>
            </w:r>
            <w:r w:rsidRPr="002A62A4">
              <w:rPr>
                <w:rFonts w:ascii="Lato" w:hAnsi="Lato"/>
                <w:szCs w:val="22"/>
              </w:rPr>
              <w:t xml:space="preserve"> </w:t>
            </w:r>
            <w:r w:rsidR="003D589F" w:rsidRPr="008C6087">
              <w:rPr>
                <w:rFonts w:ascii="Lato" w:hAnsi="Lato"/>
                <w:szCs w:val="22"/>
              </w:rPr>
              <w:t>temporarily suspends the calculation of the net asset value and repurchase or redemption of its units must inform the Central Bank immediately, and in any event within the working day on which such suspension took effect</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2.15</w:t>
            </w:r>
          </w:p>
        </w:tc>
        <w:tc>
          <w:tcPr>
            <w:tcW w:w="6974"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pStyle w:val="Header"/>
              <w:tabs>
                <w:tab w:val="left" w:pos="720"/>
              </w:tabs>
              <w:spacing w:line="240" w:lineRule="auto"/>
              <w:rPr>
                <w:rFonts w:ascii="Lato" w:hAnsi="Lato"/>
                <w:szCs w:val="22"/>
              </w:rPr>
            </w:pPr>
            <w:r w:rsidRPr="008C6087">
              <w:rPr>
                <w:rFonts w:ascii="Lato" w:hAnsi="Lato"/>
                <w:szCs w:val="22"/>
              </w:rPr>
              <w:t xml:space="preserve">Fees and Expenses </w:t>
            </w:r>
          </w:p>
        </w:tc>
        <w:tc>
          <w:tcPr>
            <w:tcW w:w="992" w:type="dxa"/>
            <w:gridSpan w:val="2"/>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2.15.1</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all fees, charges and expenses and of the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maximum amounts thereof which are directly or indirectly borne by unitholders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2.15.2</w:t>
            </w:r>
          </w:p>
        </w:tc>
        <w:tc>
          <w:tcPr>
            <w:tcW w:w="6974" w:type="dxa"/>
            <w:gridSpan w:val="2"/>
            <w:tcBorders>
              <w:top w:val="nil"/>
              <w:left w:val="nil"/>
              <w:bottom w:val="nil"/>
              <w:right w:val="single" w:sz="4" w:space="0" w:color="auto"/>
            </w:tcBorders>
          </w:tcPr>
          <w:p w:rsidR="003D589F" w:rsidRPr="008C6087" w:rsidRDefault="003D589F" w:rsidP="002A62A4">
            <w:pPr>
              <w:spacing w:line="240" w:lineRule="auto"/>
              <w:rPr>
                <w:rFonts w:ascii="Lato" w:hAnsi="Lato"/>
                <w:szCs w:val="22"/>
              </w:rPr>
            </w:pPr>
            <w:r w:rsidRPr="008C6087">
              <w:rPr>
                <w:rFonts w:ascii="Lato" w:hAnsi="Lato"/>
                <w:szCs w:val="22"/>
              </w:rPr>
              <w:t xml:space="preserve">Disclose the manner, amount and calculation of remuneration payable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E10D41" w:rsidP="003D589F">
            <w:pPr>
              <w:spacing w:line="240" w:lineRule="auto"/>
              <w:rPr>
                <w:rFonts w:ascii="Lato" w:hAnsi="Lato"/>
                <w:szCs w:val="22"/>
              </w:rPr>
            </w:pPr>
            <w:r w:rsidRPr="00366D5D">
              <w:rPr>
                <w:rFonts w:ascii="Lato" w:hAnsi="Lato"/>
                <w:szCs w:val="22"/>
              </w:rPr>
              <w:t>by</w:t>
            </w:r>
            <w:r w:rsidRPr="002A62A4">
              <w:rPr>
                <w:rFonts w:ascii="Lato" w:hAnsi="Lato"/>
                <w:szCs w:val="22"/>
              </w:rPr>
              <w:t xml:space="preserve"> </w:t>
            </w:r>
            <w:r w:rsidR="003D589F" w:rsidRPr="008C6087">
              <w:rPr>
                <w:rFonts w:ascii="Lato" w:hAnsi="Lato"/>
                <w:szCs w:val="22"/>
              </w:rPr>
              <w:t>the Retail Investor AIF to the management company, directors of the investment company, ICAV, general partners, the depositary or third parties, and reimbursement of costs by the Retail Investor AIF to the management company, directors of the investment company/ICAV, general partners, the depositary or to third parties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r w:rsidRPr="008C6087">
              <w:rPr>
                <w:rFonts w:ascii="Lato" w:hAnsi="Lato"/>
                <w:szCs w:val="22"/>
              </w:rPr>
              <w:t>2.15.3</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a description of the AIFM’s remuneration policies and practices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pursuant to Regulation 14</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Del="003208E0"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single" w:sz="4" w:space="0" w:color="auto"/>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r w:rsidRPr="008C6087">
              <w:rPr>
                <w:rFonts w:ascii="Lato" w:hAnsi="Lato"/>
                <w:szCs w:val="22"/>
              </w:rPr>
              <w:t>2.15.4</w:t>
            </w:r>
          </w:p>
        </w:tc>
        <w:tc>
          <w:tcPr>
            <w:tcW w:w="6974" w:type="dxa"/>
            <w:gridSpan w:val="2"/>
            <w:tcBorders>
              <w:top w:val="nil"/>
              <w:left w:val="nil"/>
              <w:bottom w:val="nil"/>
              <w:right w:val="single" w:sz="4" w:space="0" w:color="auto"/>
            </w:tcBorders>
          </w:tcPr>
          <w:p w:rsidR="003D589F" w:rsidRPr="008C6087" w:rsidRDefault="003D589F" w:rsidP="003D589F">
            <w:pPr>
              <w:spacing w:line="240" w:lineRule="auto"/>
              <w:rPr>
                <w:rFonts w:ascii="Lato" w:hAnsi="Lato"/>
                <w:szCs w:val="22"/>
              </w:rPr>
            </w:pPr>
            <w:r w:rsidRPr="008C6087">
              <w:rPr>
                <w:rFonts w:ascii="Lato" w:hAnsi="Lato"/>
                <w:szCs w:val="22"/>
              </w:rPr>
              <w:t xml:space="preserve">Insert details of how each service providers/directors fees are </w:t>
            </w:r>
          </w:p>
        </w:tc>
        <w:tc>
          <w:tcPr>
            <w:tcW w:w="992"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36"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2"/>
            <w:tcBorders>
              <w:top w:val="nil"/>
              <w:left w:val="single" w:sz="4" w:space="0" w:color="auto"/>
              <w:bottom w:val="nil"/>
              <w:right w:val="single" w:sz="4" w:space="0" w:color="auto"/>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single" w:sz="4" w:space="0" w:color="auto"/>
              <w:bottom w:val="single" w:sz="4" w:space="0" w:color="auto"/>
              <w:right w:val="single" w:sz="4" w:space="0" w:color="auto"/>
            </w:tcBorders>
          </w:tcPr>
          <w:p w:rsidR="003D589F" w:rsidRPr="008C6087" w:rsidRDefault="003D589F" w:rsidP="003D589F">
            <w:pPr>
              <w:spacing w:line="240" w:lineRule="auto"/>
              <w:rPr>
                <w:rFonts w:ascii="Lato" w:hAnsi="Lato"/>
                <w:szCs w:val="22"/>
              </w:rPr>
            </w:pPr>
          </w:p>
        </w:tc>
        <w:tc>
          <w:tcPr>
            <w:tcW w:w="264" w:type="dxa"/>
            <w:gridSpan w:val="4"/>
            <w:tcBorders>
              <w:top w:val="nil"/>
              <w:left w:val="single" w:sz="4" w:space="0" w:color="auto"/>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8C6087">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accrued and paid (i.e. daily, weekly, monthly in arrears)</w:t>
            </w:r>
          </w:p>
        </w:tc>
        <w:tc>
          <w:tcPr>
            <w:tcW w:w="992"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single" w:sz="4" w:space="0" w:color="auto"/>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Note: (i) if fees are payable in advance the relevant party must have agreed to repay any fees not earned if the agreement is terminated.</w:t>
            </w:r>
          </w:p>
          <w:p w:rsidR="003D589F" w:rsidRPr="008C6087" w:rsidRDefault="003D589F" w:rsidP="003D589F">
            <w:pPr>
              <w:spacing w:line="240" w:lineRule="auto"/>
              <w:rPr>
                <w:rFonts w:ascii="Lato" w:hAnsi="Lato"/>
                <w:szCs w:val="22"/>
              </w:rPr>
            </w:pPr>
            <w:r w:rsidRPr="008C6087">
              <w:rPr>
                <w:rFonts w:ascii="Lato" w:hAnsi="Lato"/>
                <w:szCs w:val="22"/>
              </w:rPr>
              <w:t>(ii):  If provision is made for penalty fees, (e.g. fees that may arise on early termination of an appointment), these must be disclosed</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r w:rsidRPr="008C6087">
              <w:rPr>
                <w:rFonts w:ascii="Lato" w:hAnsi="Lato"/>
                <w:szCs w:val="22"/>
              </w:rPr>
              <w:t>The basis of the fee calculation (e.g., % per annum of net asset value, gross asset value, gross proceeds)</w:t>
            </w: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r w:rsidR="003D589F" w:rsidRPr="008C6087" w:rsidTr="00E2618B">
        <w:trPr>
          <w:gridAfter w:val="2"/>
          <w:wAfter w:w="3800" w:type="dxa"/>
        </w:trPr>
        <w:tc>
          <w:tcPr>
            <w:tcW w:w="1107" w:type="dxa"/>
            <w:tcBorders>
              <w:top w:val="nil"/>
              <w:left w:val="nil"/>
              <w:bottom w:val="nil"/>
              <w:right w:val="nil"/>
            </w:tcBorders>
          </w:tcPr>
          <w:p w:rsidR="003D589F" w:rsidRPr="008C6087" w:rsidRDefault="003D589F" w:rsidP="003D589F">
            <w:pPr>
              <w:spacing w:line="240" w:lineRule="auto"/>
              <w:ind w:left="-108"/>
              <w:rPr>
                <w:rFonts w:ascii="Lato" w:hAnsi="Lato"/>
                <w:szCs w:val="22"/>
              </w:rPr>
            </w:pPr>
          </w:p>
        </w:tc>
        <w:tc>
          <w:tcPr>
            <w:tcW w:w="697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992"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3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709" w:type="dxa"/>
            <w:gridSpan w:val="3"/>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455"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c>
          <w:tcPr>
            <w:tcW w:w="264" w:type="dxa"/>
            <w:gridSpan w:val="4"/>
            <w:tcBorders>
              <w:top w:val="nil"/>
              <w:left w:val="nil"/>
              <w:bottom w:val="nil"/>
              <w:right w:val="nil"/>
            </w:tcBorders>
          </w:tcPr>
          <w:p w:rsidR="003D589F" w:rsidRPr="008C6087" w:rsidRDefault="003D589F" w:rsidP="003D589F">
            <w:pPr>
              <w:spacing w:line="240" w:lineRule="auto"/>
              <w:rPr>
                <w:rFonts w:ascii="Lato" w:hAnsi="Lato"/>
                <w:szCs w:val="22"/>
              </w:rPr>
            </w:pPr>
          </w:p>
        </w:tc>
        <w:tc>
          <w:tcPr>
            <w:tcW w:w="556" w:type="dxa"/>
            <w:gridSpan w:val="2"/>
            <w:tcBorders>
              <w:top w:val="nil"/>
              <w:left w:val="nil"/>
              <w:bottom w:val="nil"/>
              <w:right w:val="nil"/>
            </w:tcBorders>
          </w:tcPr>
          <w:p w:rsidR="003D589F" w:rsidRPr="008C6087" w:rsidRDefault="003D589F" w:rsidP="003D589F">
            <w:pPr>
              <w:spacing w:line="240" w:lineRule="auto"/>
              <w:rPr>
                <w:rFonts w:ascii="Lato" w:hAnsi="Lato"/>
                <w:szCs w:val="22"/>
              </w:rPr>
            </w:pPr>
          </w:p>
        </w:tc>
      </w:tr>
    </w:tbl>
    <w:p w:rsidR="00E2618B" w:rsidRPr="008C6087" w:rsidRDefault="00E2618B" w:rsidP="003C3E16">
      <w:pPr>
        <w:spacing w:line="240" w:lineRule="auto"/>
        <w:ind w:left="-108"/>
        <w:rPr>
          <w:rFonts w:ascii="Lato" w:hAnsi="Lato"/>
          <w:szCs w:val="22"/>
        </w:rPr>
        <w:sectPr w:rsidR="00E2618B" w:rsidRPr="008C6087" w:rsidSect="008C6087">
          <w:headerReference w:type="default" r:id="rId16"/>
          <w:footerReference w:type="default" r:id="rId17"/>
          <w:pgSz w:w="11904" w:h="16834"/>
          <w:pgMar w:top="851" w:right="1800" w:bottom="1440" w:left="1800" w:header="142" w:footer="266" w:gutter="0"/>
          <w:pgNumType w:start="2"/>
          <w:cols w:space="708"/>
          <w:titlePg/>
        </w:sectPr>
      </w:pPr>
    </w:p>
    <w:tbl>
      <w:tblPr>
        <w:tblW w:w="11541"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6"/>
        <w:gridCol w:w="6972"/>
        <w:gridCol w:w="992"/>
        <w:gridCol w:w="283"/>
        <w:gridCol w:w="712"/>
        <w:gridCol w:w="284"/>
        <w:gridCol w:w="456"/>
        <w:gridCol w:w="252"/>
        <w:gridCol w:w="411"/>
        <w:gridCol w:w="15"/>
        <w:gridCol w:w="6"/>
        <w:gridCol w:w="52"/>
      </w:tblGrid>
      <w:tr w:rsidR="00E2618B" w:rsidRPr="008C6087" w:rsidTr="00C14214">
        <w:trPr>
          <w:gridAfter w:val="2"/>
          <w:wAfter w:w="58" w:type="dxa"/>
        </w:trPr>
        <w:tc>
          <w:tcPr>
            <w:tcW w:w="110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7428FE">
            <w:pPr>
              <w:spacing w:line="240" w:lineRule="auto"/>
              <w:rPr>
                <w:rFonts w:ascii="Lato" w:hAnsi="Lato"/>
                <w:szCs w:val="22"/>
              </w:rPr>
            </w:pPr>
            <w:r w:rsidRPr="008C6087">
              <w:rPr>
                <w:rFonts w:ascii="Lato" w:hAnsi="Lato"/>
                <w:szCs w:val="22"/>
              </w:rPr>
              <w:t xml:space="preserve">The maximum fee and out of pocket expenses of each of the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26" w:type="dxa"/>
            <w:gridSpan w:val="2"/>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C14214">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61C45">
            <w:pPr>
              <w:tabs>
                <w:tab w:val="left" w:pos="980"/>
              </w:tabs>
              <w:spacing w:line="240" w:lineRule="auto"/>
              <w:rPr>
                <w:rFonts w:ascii="Lato" w:hAnsi="Lato"/>
                <w:szCs w:val="22"/>
              </w:rPr>
            </w:pPr>
            <w:r w:rsidRPr="008C6087">
              <w:rPr>
                <w:rFonts w:ascii="Lato" w:hAnsi="Lato"/>
                <w:szCs w:val="22"/>
              </w:rPr>
              <w:t xml:space="preserve">service providers/directors, where such fees are payable directly from </w:t>
            </w:r>
          </w:p>
        </w:tc>
        <w:tc>
          <w:tcPr>
            <w:tcW w:w="99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7428FE">
            <w:pPr>
              <w:tabs>
                <w:tab w:val="left" w:pos="1054"/>
              </w:tabs>
              <w:spacing w:line="240" w:lineRule="auto"/>
              <w:rPr>
                <w:rFonts w:ascii="Lato" w:hAnsi="Lato"/>
                <w:szCs w:val="22"/>
              </w:rPr>
            </w:pPr>
            <w:r w:rsidRPr="008C6087">
              <w:rPr>
                <w:rFonts w:ascii="Lato" w:hAnsi="Lato"/>
                <w:szCs w:val="22"/>
              </w:rPr>
              <w:t>the assets of the Retail Investor AIF</w:t>
            </w:r>
          </w:p>
        </w:tc>
        <w:tc>
          <w:tcPr>
            <w:tcW w:w="99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3"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84"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rsidP="007428FE">
            <w:pPr>
              <w:spacing w:line="240" w:lineRule="auto"/>
              <w:rPr>
                <w:rFonts w:ascii="Lato" w:hAnsi="Lato"/>
                <w:szCs w:val="22"/>
              </w:rPr>
            </w:pPr>
          </w:p>
        </w:tc>
        <w:tc>
          <w:tcPr>
            <w:tcW w:w="252" w:type="dxa"/>
            <w:tcBorders>
              <w:top w:val="nil"/>
              <w:left w:val="nil"/>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spacing w:line="240" w:lineRule="auto"/>
              <w:rPr>
                <w:rFonts w:ascii="Lato" w:hAnsi="Lato"/>
                <w:szCs w:val="22"/>
              </w:rPr>
            </w:pPr>
            <w:r w:rsidRPr="008C6087">
              <w:rPr>
                <w:rFonts w:ascii="Lato" w:hAnsi="Lato"/>
                <w:szCs w:val="22"/>
              </w:rPr>
              <w:t>(i)management company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(ii)administrator/transfer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387"/>
              </w:tabs>
              <w:spacing w:line="240" w:lineRule="auto"/>
              <w:rPr>
                <w:rFonts w:ascii="Lato" w:hAnsi="Lato"/>
                <w:szCs w:val="22"/>
              </w:rPr>
            </w:pPr>
            <w:r w:rsidRPr="008C6087">
              <w:rPr>
                <w:rFonts w:ascii="Lato" w:hAnsi="Lato"/>
                <w:szCs w:val="22"/>
              </w:rPr>
              <w:t>(iii)depositary</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(iv)sub-depositary (fees and transaction charges)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(or state that they will be at normal commercial rates)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F574A7">
            <w:pPr>
              <w:tabs>
                <w:tab w:val="left" w:pos="1826"/>
              </w:tabs>
              <w:spacing w:line="240" w:lineRule="auto"/>
              <w:rPr>
                <w:rFonts w:ascii="Lato" w:hAnsi="Lato"/>
                <w:szCs w:val="22"/>
              </w:rPr>
            </w:pPr>
            <w:r w:rsidRPr="008C6087">
              <w:rPr>
                <w:rFonts w:ascii="Lato" w:hAnsi="Lato"/>
                <w:szCs w:val="22"/>
              </w:rPr>
              <w:t>(v) investment manager/sub-investment manager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(vi)investment adviser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(vii)distributor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(viii)sub-distributor/paying agent</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(ix)directors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spacing w:line="240" w:lineRule="auto"/>
              <w:rPr>
                <w:rFonts w:ascii="Lato" w:hAnsi="Lato"/>
                <w:szCs w:val="22"/>
              </w:rPr>
            </w:pPr>
            <w:r w:rsidRPr="008C6087">
              <w:rPr>
                <w:rFonts w:ascii="Lato" w:hAnsi="Lato"/>
                <w:szCs w:val="22"/>
              </w:rPr>
              <w:t>(x)prime broker</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c>
          <w:tcPr>
            <w:tcW w:w="1106" w:type="dxa"/>
            <w:tcBorders>
              <w:top w:val="nil"/>
              <w:left w:val="nil"/>
              <w:bottom w:val="nil"/>
              <w:right w:val="nil"/>
            </w:tcBorders>
          </w:tcPr>
          <w:p w:rsidR="00E2618B" w:rsidRPr="008C6087" w:rsidRDefault="00E2618B" w:rsidP="007428FE">
            <w:pPr>
              <w:spacing w:line="240" w:lineRule="auto"/>
              <w:jc w:val="right"/>
              <w:rPr>
                <w:rFonts w:ascii="Lato" w:hAnsi="Lato"/>
                <w:szCs w:val="22"/>
              </w:rPr>
            </w:pPr>
          </w:p>
        </w:tc>
        <w:tc>
          <w:tcPr>
            <w:tcW w:w="6972" w:type="dxa"/>
            <w:tcBorders>
              <w:top w:val="nil"/>
              <w:left w:val="nil"/>
              <w:bottom w:val="nil"/>
              <w:right w:val="single" w:sz="4" w:space="0" w:color="auto"/>
            </w:tcBorders>
          </w:tcPr>
          <w:p w:rsidR="00E2618B" w:rsidRPr="008C6087" w:rsidRDefault="00E2618B" w:rsidP="007428FE">
            <w:pPr>
              <w:tabs>
                <w:tab w:val="left" w:pos="1984"/>
              </w:tabs>
              <w:spacing w:line="240" w:lineRule="auto"/>
              <w:rPr>
                <w:rFonts w:ascii="Lato" w:hAnsi="Lato"/>
                <w:szCs w:val="22"/>
              </w:rPr>
            </w:pPr>
            <w:r w:rsidRPr="008C6087">
              <w:rPr>
                <w:rFonts w:ascii="Lato" w:hAnsi="Lato"/>
                <w:szCs w:val="22"/>
              </w:rPr>
              <w:t>(xi)AIFM</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rsidP="007428FE">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rsidP="007428FE">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rsidP="007428FE">
            <w:pPr>
              <w:spacing w:line="240" w:lineRule="auto"/>
              <w:rPr>
                <w:rFonts w:ascii="Lato" w:hAnsi="Lato"/>
                <w:szCs w:val="22"/>
              </w:rPr>
            </w:pPr>
          </w:p>
        </w:tc>
        <w:tc>
          <w:tcPr>
            <w:tcW w:w="484" w:type="dxa"/>
            <w:gridSpan w:val="4"/>
            <w:tcBorders>
              <w:top w:val="nil"/>
              <w:left w:val="nil"/>
              <w:bottom w:val="nil"/>
              <w:right w:val="nil"/>
            </w:tcBorders>
          </w:tcPr>
          <w:p w:rsidR="00E2618B" w:rsidRPr="008C6087" w:rsidRDefault="00E2618B" w:rsidP="007428FE">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rsidP="005418AB">
            <w:pPr>
              <w:tabs>
                <w:tab w:val="left" w:pos="980"/>
              </w:tabs>
              <w:spacing w:line="240" w:lineRule="auto"/>
              <w:rPr>
                <w:rFonts w:ascii="Lato" w:hAnsi="Lato"/>
                <w:szCs w:val="22"/>
              </w:rPr>
            </w:pPr>
            <w:r w:rsidRPr="008C6087">
              <w:rPr>
                <w:rFonts w:ascii="Lato" w:hAnsi="Lato"/>
                <w:szCs w:val="22"/>
              </w:rPr>
              <w:t>Any other fees and expenses paid directly by the Retail Investor AIF</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tabs>
                <w:tab w:val="left" w:pos="1054"/>
              </w:tabs>
              <w:spacing w:line="240" w:lineRule="auto"/>
              <w:rPr>
                <w:rFonts w:ascii="Lato" w:hAnsi="Lato"/>
                <w:szCs w:val="22"/>
              </w:rPr>
            </w:pP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rsidP="0001795A">
            <w:pPr>
              <w:tabs>
                <w:tab w:val="left" w:pos="1387"/>
              </w:tabs>
              <w:spacing w:line="240" w:lineRule="auto"/>
              <w:rPr>
                <w:rFonts w:ascii="Lato" w:hAnsi="Lato"/>
                <w:szCs w:val="22"/>
              </w:rPr>
            </w:pPr>
            <w:r w:rsidRPr="008C6087">
              <w:rPr>
                <w:rFonts w:ascii="Lato" w:hAnsi="Lato"/>
                <w:szCs w:val="22"/>
              </w:rPr>
              <w:t xml:space="preserve">All other costs and expenses, including establishment costs.  </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rsidP="005418AB">
            <w:pPr>
              <w:tabs>
                <w:tab w:val="left" w:pos="1387"/>
              </w:tabs>
              <w:spacing w:line="240" w:lineRule="auto"/>
              <w:rPr>
                <w:rFonts w:ascii="Lato" w:hAnsi="Lato"/>
                <w:szCs w:val="22"/>
              </w:rPr>
            </w:pPr>
            <w:r w:rsidRPr="008C6087">
              <w:rPr>
                <w:rFonts w:ascii="Lato" w:hAnsi="Lato"/>
                <w:szCs w:val="22"/>
              </w:rPr>
              <w:t>Indicate how costs of establishment will be dealt with in the accounts of the Retail Investor AIF e.g. amortised over first five accounting periods.</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Multi-class Retail Investor AIF charging different fees to individual classes</w:t>
            </w: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Details of the fees applicable to the class</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other classes may be established within the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Retail Investor AIF which may be subject to higher/lower/no fees where applicable; and</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p>
        </w:tc>
        <w:tc>
          <w:tcPr>
            <w:tcW w:w="6972" w:type="dxa"/>
            <w:tcBorders>
              <w:top w:val="nil"/>
              <w:left w:val="nil"/>
              <w:bottom w:val="nil"/>
              <w:right w:val="nil"/>
            </w:tcBorders>
          </w:tcPr>
          <w:p w:rsidR="00E2618B" w:rsidRPr="008C6087" w:rsidRDefault="00E2618B">
            <w:pPr>
              <w:pStyle w:val="Heading1"/>
              <w:tabs>
                <w:tab w:val="left" w:pos="1036"/>
              </w:tabs>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E2618B" w:rsidRPr="008C6087" w:rsidRDefault="00E2618B">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A statement that information in relation to the fees applicable</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rsidP="00561C45">
            <w:pPr>
              <w:pStyle w:val="Heading1"/>
              <w:tabs>
                <w:tab w:val="left" w:pos="1036"/>
              </w:tabs>
              <w:spacing w:before="0" w:after="0" w:line="240" w:lineRule="auto"/>
              <w:rPr>
                <w:rFonts w:ascii="Lato" w:hAnsi="Lato"/>
                <w:color w:val="auto"/>
                <w:sz w:val="22"/>
                <w:szCs w:val="22"/>
              </w:rPr>
            </w:pPr>
            <w:r w:rsidRPr="008C6087">
              <w:rPr>
                <w:rFonts w:ascii="Lato" w:hAnsi="Lato"/>
                <w:color w:val="auto"/>
                <w:sz w:val="22"/>
                <w:szCs w:val="22"/>
              </w:rPr>
              <w:t>to other classes within the Retail Investor AIF is available on request</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tabs>
                <w:tab w:val="left" w:pos="1036"/>
              </w:tabs>
              <w:spacing w:line="240" w:lineRule="auto"/>
              <w:rPr>
                <w:rFonts w:ascii="Lato" w:hAnsi="Lato"/>
                <w:szCs w:val="22"/>
              </w:rPr>
            </w:pPr>
          </w:p>
        </w:tc>
        <w:tc>
          <w:tcPr>
            <w:tcW w:w="99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single" w:sz="4" w:space="0" w:color="auto"/>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rsidP="00F55590">
            <w:pPr>
              <w:spacing w:line="240" w:lineRule="auto"/>
              <w:ind w:left="-108"/>
              <w:rPr>
                <w:rFonts w:ascii="Lato" w:hAnsi="Lato"/>
                <w:szCs w:val="22"/>
              </w:rPr>
            </w:pPr>
            <w:r w:rsidRPr="008C6087">
              <w:rPr>
                <w:rFonts w:ascii="Lato" w:hAnsi="Lato"/>
                <w:szCs w:val="22"/>
              </w:rPr>
              <w:t>2.1</w:t>
            </w:r>
            <w:r w:rsidR="00F55590" w:rsidRPr="008C6087">
              <w:rPr>
                <w:rFonts w:ascii="Lato" w:hAnsi="Lato"/>
                <w:szCs w:val="22"/>
              </w:rPr>
              <w:t>5</w:t>
            </w:r>
            <w:r w:rsidRPr="008C6087">
              <w:rPr>
                <w:rFonts w:ascii="Lato" w:hAnsi="Lato"/>
                <w:szCs w:val="22"/>
              </w:rPr>
              <w:t>.5</w:t>
            </w:r>
          </w:p>
        </w:tc>
        <w:tc>
          <w:tcPr>
            <w:tcW w:w="6972" w:type="dxa"/>
            <w:tcBorders>
              <w:top w:val="nil"/>
              <w:left w:val="nil"/>
              <w:bottom w:val="nil"/>
              <w:right w:val="single" w:sz="4" w:space="0" w:color="auto"/>
            </w:tcBorders>
          </w:tcPr>
          <w:p w:rsidR="00E2618B" w:rsidRPr="008C6087" w:rsidRDefault="00E2618B">
            <w:pPr>
              <w:pStyle w:val="Heading3"/>
              <w:spacing w:before="0" w:after="0" w:line="240" w:lineRule="auto"/>
              <w:rPr>
                <w:rFonts w:ascii="Lato" w:eastAsia="Arial Unicode MS" w:hAnsi="Lato"/>
                <w:b w:val="0"/>
                <w:bCs/>
                <w:color w:val="auto"/>
                <w:sz w:val="22"/>
                <w:szCs w:val="22"/>
              </w:rPr>
            </w:pPr>
            <w:r w:rsidRPr="008C6087">
              <w:rPr>
                <w:rFonts w:ascii="Lato" w:hAnsi="Lato"/>
                <w:b w:val="0"/>
                <w:bCs/>
                <w:color w:val="auto"/>
                <w:sz w:val="22"/>
                <w:szCs w:val="22"/>
              </w:rPr>
              <w:t xml:space="preserve">Alternatively, it is acceptable to state a single figure which </w:t>
            </w:r>
            <w:r w:rsidRPr="008C6087">
              <w:rPr>
                <w:rFonts w:ascii="Lato" w:hAnsi="Lato"/>
                <w:b w:val="0"/>
                <w:color w:val="auto"/>
                <w:sz w:val="22"/>
                <w:szCs w:val="22"/>
              </w:rPr>
              <w:t>caps all</w:t>
            </w:r>
          </w:p>
        </w:tc>
        <w:tc>
          <w:tcPr>
            <w:tcW w:w="99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E2618B" w:rsidRPr="008C6087" w:rsidRDefault="00E2618B">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E2618B" w:rsidRPr="008C6087" w:rsidRDefault="00E2618B">
            <w:pPr>
              <w:spacing w:line="240" w:lineRule="auto"/>
              <w:rPr>
                <w:rFonts w:ascii="Lato" w:hAnsi="Lato"/>
                <w:szCs w:val="22"/>
              </w:rPr>
            </w:pPr>
          </w:p>
        </w:tc>
        <w:tc>
          <w:tcPr>
            <w:tcW w:w="252" w:type="dxa"/>
            <w:tcBorders>
              <w:top w:val="nil"/>
              <w:left w:val="single" w:sz="4" w:space="0" w:color="auto"/>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8C6087">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r w:rsidRPr="008C6087">
              <w:rPr>
                <w:rFonts w:ascii="Lato" w:hAnsi="Lato"/>
                <w:szCs w:val="22"/>
              </w:rPr>
              <w:t xml:space="preserve">fees payable out of the fund, provided it is clear what is included in the overall fee. </w:t>
            </w:r>
          </w:p>
        </w:tc>
        <w:tc>
          <w:tcPr>
            <w:tcW w:w="99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single" w:sz="4" w:space="0" w:color="auto"/>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E2618B" w:rsidRPr="008C6087" w:rsidTr="00C14214">
        <w:trPr>
          <w:gridAfter w:val="3"/>
          <w:wAfter w:w="73" w:type="dxa"/>
        </w:trPr>
        <w:tc>
          <w:tcPr>
            <w:tcW w:w="1106" w:type="dxa"/>
            <w:tcBorders>
              <w:top w:val="nil"/>
              <w:left w:val="nil"/>
              <w:bottom w:val="nil"/>
              <w:right w:val="nil"/>
            </w:tcBorders>
          </w:tcPr>
          <w:p w:rsidR="00E2618B" w:rsidRPr="008C6087" w:rsidRDefault="00E2618B">
            <w:pPr>
              <w:spacing w:line="240" w:lineRule="auto"/>
              <w:rPr>
                <w:rFonts w:ascii="Lato" w:hAnsi="Lato"/>
                <w:szCs w:val="22"/>
              </w:rPr>
            </w:pPr>
          </w:p>
        </w:tc>
        <w:tc>
          <w:tcPr>
            <w:tcW w:w="6972" w:type="dxa"/>
            <w:tcBorders>
              <w:top w:val="nil"/>
              <w:left w:val="nil"/>
              <w:bottom w:val="nil"/>
              <w:right w:val="nil"/>
            </w:tcBorders>
          </w:tcPr>
          <w:p w:rsidR="00E2618B" w:rsidRPr="008C6087" w:rsidRDefault="00E2618B">
            <w:pPr>
              <w:spacing w:line="240" w:lineRule="auto"/>
              <w:rPr>
                <w:rFonts w:ascii="Lato" w:hAnsi="Lato"/>
                <w:szCs w:val="22"/>
              </w:rPr>
            </w:pPr>
          </w:p>
        </w:tc>
        <w:tc>
          <w:tcPr>
            <w:tcW w:w="992" w:type="dxa"/>
            <w:tcBorders>
              <w:top w:val="nil"/>
              <w:left w:val="nil"/>
              <w:bottom w:val="nil"/>
              <w:right w:val="nil"/>
            </w:tcBorders>
          </w:tcPr>
          <w:p w:rsidR="00E2618B" w:rsidRPr="008C6087" w:rsidRDefault="00E2618B">
            <w:pPr>
              <w:spacing w:line="240" w:lineRule="auto"/>
              <w:rPr>
                <w:rFonts w:ascii="Lato" w:hAnsi="Lato"/>
                <w:szCs w:val="22"/>
              </w:rPr>
            </w:pPr>
          </w:p>
        </w:tc>
        <w:tc>
          <w:tcPr>
            <w:tcW w:w="283" w:type="dxa"/>
            <w:tcBorders>
              <w:top w:val="nil"/>
              <w:left w:val="nil"/>
              <w:bottom w:val="nil"/>
              <w:right w:val="nil"/>
            </w:tcBorders>
          </w:tcPr>
          <w:p w:rsidR="00E2618B" w:rsidRPr="008C6087" w:rsidRDefault="00E2618B">
            <w:pPr>
              <w:spacing w:line="240" w:lineRule="auto"/>
              <w:rPr>
                <w:rFonts w:ascii="Lato" w:hAnsi="Lato"/>
                <w:szCs w:val="22"/>
              </w:rPr>
            </w:pPr>
          </w:p>
        </w:tc>
        <w:tc>
          <w:tcPr>
            <w:tcW w:w="712" w:type="dxa"/>
            <w:tcBorders>
              <w:top w:val="nil"/>
              <w:left w:val="nil"/>
              <w:bottom w:val="nil"/>
              <w:right w:val="nil"/>
            </w:tcBorders>
          </w:tcPr>
          <w:p w:rsidR="00E2618B" w:rsidRPr="008C6087" w:rsidRDefault="00E2618B">
            <w:pPr>
              <w:spacing w:line="240" w:lineRule="auto"/>
              <w:rPr>
                <w:rFonts w:ascii="Lato" w:hAnsi="Lato"/>
                <w:szCs w:val="22"/>
              </w:rPr>
            </w:pPr>
          </w:p>
        </w:tc>
        <w:tc>
          <w:tcPr>
            <w:tcW w:w="284" w:type="dxa"/>
            <w:tcBorders>
              <w:top w:val="nil"/>
              <w:left w:val="nil"/>
              <w:bottom w:val="nil"/>
              <w:right w:val="nil"/>
            </w:tcBorders>
          </w:tcPr>
          <w:p w:rsidR="00E2618B" w:rsidRPr="008C6087" w:rsidRDefault="00E2618B">
            <w:pPr>
              <w:spacing w:line="240" w:lineRule="auto"/>
              <w:rPr>
                <w:rFonts w:ascii="Lato" w:hAnsi="Lato"/>
                <w:szCs w:val="22"/>
              </w:rPr>
            </w:pPr>
          </w:p>
        </w:tc>
        <w:tc>
          <w:tcPr>
            <w:tcW w:w="456" w:type="dxa"/>
            <w:tcBorders>
              <w:top w:val="nil"/>
              <w:left w:val="nil"/>
              <w:bottom w:val="nil"/>
              <w:right w:val="nil"/>
            </w:tcBorders>
          </w:tcPr>
          <w:p w:rsidR="00E2618B" w:rsidRPr="008C6087" w:rsidRDefault="00E2618B">
            <w:pPr>
              <w:spacing w:line="240" w:lineRule="auto"/>
              <w:rPr>
                <w:rFonts w:ascii="Lato" w:hAnsi="Lato"/>
                <w:szCs w:val="22"/>
              </w:rPr>
            </w:pPr>
          </w:p>
        </w:tc>
        <w:tc>
          <w:tcPr>
            <w:tcW w:w="252" w:type="dxa"/>
            <w:tcBorders>
              <w:top w:val="nil"/>
              <w:left w:val="nil"/>
              <w:bottom w:val="nil"/>
              <w:right w:val="nil"/>
            </w:tcBorders>
          </w:tcPr>
          <w:p w:rsidR="00E2618B" w:rsidRPr="008C6087" w:rsidRDefault="00E2618B">
            <w:pPr>
              <w:spacing w:line="240" w:lineRule="auto"/>
              <w:rPr>
                <w:rFonts w:ascii="Lato" w:hAnsi="Lato"/>
                <w:szCs w:val="22"/>
              </w:rPr>
            </w:pPr>
          </w:p>
        </w:tc>
        <w:tc>
          <w:tcPr>
            <w:tcW w:w="411" w:type="dxa"/>
            <w:tcBorders>
              <w:top w:val="nil"/>
              <w:left w:val="nil"/>
              <w:bottom w:val="nil"/>
              <w:right w:val="nil"/>
            </w:tcBorders>
          </w:tcPr>
          <w:p w:rsidR="00E2618B" w:rsidRPr="008C6087" w:rsidRDefault="00E2618B">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b/>
                <w:szCs w:val="22"/>
              </w:rPr>
              <w:t>Section 2.15.6</w:t>
            </w:r>
            <w:r w:rsidRPr="00F630D2">
              <w:rPr>
                <w:rFonts w:ascii="Lato" w:hAnsi="Lato"/>
                <w:b/>
                <w:szCs w:val="22"/>
              </w:rPr>
              <w:t xml:space="preserve"> B to be completed by Retail Investor AIFs exempted from the ESMA Guidelines on Performance Fees in UCITS and certain types of AIFs (i.e.  closed-ended Retail Investor AIFs or open-ended Retail Investor AIFs that are EuVECAs, venture capital AIFs, EuSEFS, private equity AIFs or real estate AIFs)</w:t>
            </w:r>
            <w:r>
              <w:rPr>
                <w:rFonts w:ascii="Lato" w:hAnsi="Lato"/>
                <w:b/>
                <w:szCs w:val="22"/>
              </w:rPr>
              <w:t>. Section 2.15.6</w:t>
            </w:r>
            <w:r w:rsidRPr="00F630D2">
              <w:rPr>
                <w:rFonts w:ascii="Lato" w:hAnsi="Lato"/>
                <w:b/>
                <w:szCs w:val="22"/>
              </w:rPr>
              <w:t xml:space="preserve"> A is to be completed by all other Retail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2.15.6 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Confirm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Disclose</w:t>
            </w:r>
            <w:r>
              <w:rPr>
                <w:rFonts w:ascii="Lato" w:hAnsi="Lato"/>
              </w:rPr>
              <w:t xml:space="preserve"> a description of the performance fee calculation method to include</w:t>
            </w:r>
            <w:r w:rsidRPr="004E6794">
              <w:rPr>
                <w:rFonts w:ascii="Lato" w:hAnsi="Lato"/>
              </w:rPr>
              <w:t xml:space="preserve">: :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 </w:t>
            </w:r>
            <w:r w:rsidRPr="005D6B0F">
              <w:rPr>
                <w:rFonts w:ascii="Lato" w:hAnsi="Lato"/>
              </w:rPr>
              <w:t>the reference indicator to measure the r</w:t>
            </w:r>
            <w:r>
              <w:rPr>
                <w:rFonts w:ascii="Lato" w:hAnsi="Lato"/>
              </w:rPr>
              <w:t xml:space="preserve">elative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performance of the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Note: </w:t>
            </w:r>
            <w:r w:rsidRPr="005D6B0F">
              <w:rPr>
                <w:rFonts w:ascii="Lato" w:hAnsi="Lato"/>
              </w:rPr>
              <w:t>This refer</w:t>
            </w:r>
            <w:r>
              <w:rPr>
                <w:rFonts w:ascii="Lato" w:hAnsi="Lato"/>
              </w:rPr>
              <w:t>ence indicator can be an index</w:t>
            </w:r>
            <w:r w:rsidRPr="005D6B0F">
              <w:rPr>
                <w:rFonts w:ascii="Lato" w:hAnsi="Lato"/>
              </w:rPr>
              <w:t>, a H</w:t>
            </w:r>
            <w:r>
              <w:rPr>
                <w:rFonts w:ascii="Lato" w:hAnsi="Lato"/>
              </w:rPr>
              <w:t xml:space="preserve">igh </w:t>
            </w:r>
            <w:r w:rsidRPr="005D6B0F">
              <w:rPr>
                <w:rFonts w:ascii="Lato" w:hAnsi="Lato"/>
              </w:rPr>
              <w:t>W</w:t>
            </w:r>
            <w:r>
              <w:rPr>
                <w:rFonts w:ascii="Lato" w:hAnsi="Lato"/>
              </w:rPr>
              <w:t xml:space="preserve">ater </w:t>
            </w:r>
            <w:r w:rsidRPr="005D6B0F">
              <w:rPr>
                <w:rFonts w:ascii="Lato" w:hAnsi="Lato"/>
              </w:rPr>
              <w:t>M</w:t>
            </w:r>
            <w:r>
              <w:rPr>
                <w:rFonts w:ascii="Lato" w:hAnsi="Lato"/>
              </w:rPr>
              <w:t xml:space="preserve">ark, a hurdle rate </w:t>
            </w:r>
            <w:r w:rsidRPr="005D6B0F">
              <w:rPr>
                <w:rFonts w:ascii="Lato" w:hAnsi="Lato"/>
              </w:rPr>
              <w:t>or a combin</w:t>
            </w:r>
            <w:r>
              <w:rPr>
                <w:rFonts w:ascii="Lato" w:hAnsi="Lato"/>
              </w:rPr>
              <w:t>ation (e.g.: HWM + hurdle rate)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t>
            </w:r>
            <w:r w:rsidRPr="008B153A">
              <w:rPr>
                <w:rFonts w:ascii="Lato" w:hAnsi="Lato"/>
              </w:rPr>
              <w:t xml:space="preserve">The </w:t>
            </w:r>
            <w:r>
              <w:rPr>
                <w:rFonts w:ascii="Lato" w:hAnsi="Lato"/>
              </w:rPr>
              <w:t xml:space="preserve">crystallisation frequency at which the accrued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if any, becomes payable to the manager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a crystallisation date at which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credited to the manager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ii</w:t>
            </w:r>
            <w:r w:rsidRPr="004E6794">
              <w:rPr>
                <w:rFonts w:ascii="Lato" w:hAnsi="Lato"/>
              </w:rPr>
              <w:t xml:space="preserve">) </w:t>
            </w:r>
            <w:r w:rsidRPr="008B153A">
              <w:rPr>
                <w:rFonts w:ascii="Lato" w:hAnsi="Lato"/>
              </w:rPr>
              <w:t xml:space="preserve">The </w:t>
            </w:r>
            <w:r>
              <w:rPr>
                <w:rFonts w:ascii="Lato" w:hAnsi="Lato"/>
              </w:rPr>
              <w:t>performance reference period (t</w:t>
            </w:r>
            <w:r w:rsidRPr="004E6794">
              <w:rPr>
                <w:rFonts w:ascii="Lato" w:hAnsi="Lato"/>
              </w:rPr>
              <w:t xml:space="preserve">he calculation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period for determining the fee</w:t>
            </w:r>
            <w:r>
              <w:rPr>
                <w:rFonts w:ascii="Lato" w:hAnsi="Lato"/>
              </w:rPr>
              <w: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(i</w:t>
            </w:r>
            <w:r>
              <w:rPr>
                <w:rFonts w:ascii="Lato" w:hAnsi="Lato"/>
              </w:rPr>
              <w:t>v</w:t>
            </w:r>
            <w:r w:rsidRPr="004E6794">
              <w:rPr>
                <w:rFonts w:ascii="Lato" w:hAnsi="Lato"/>
              </w:rPr>
              <w:t>) 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 </w:t>
            </w:r>
            <w:r>
              <w:rPr>
                <w:rFonts w:ascii="Lato" w:hAnsi="Lato"/>
              </w:rPr>
              <w:t>The performance fee rate (t</w:t>
            </w:r>
            <w:r w:rsidRPr="004E6794">
              <w:rPr>
                <w:rFonts w:ascii="Lato" w:hAnsi="Lato"/>
              </w:rPr>
              <w:t>he</w:t>
            </w:r>
            <w:r w:rsidRPr="004E6794" w:rsidDel="005C75CA">
              <w:rPr>
                <w:rFonts w:ascii="Lato" w:hAnsi="Lato"/>
              </w:rPr>
              <w:t xml:space="preserve"> </w:t>
            </w:r>
            <w:r w:rsidRPr="004E6794">
              <w:rPr>
                <w:rFonts w:ascii="Lato" w:hAnsi="Lato"/>
              </w:rPr>
              <w:t xml:space="preserve">percentage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performance fee </w:t>
            </w:r>
            <w:r w:rsidRPr="004E6794">
              <w:rPr>
                <w:rFonts w:ascii="Lato" w:hAnsi="Lato"/>
              </w:rPr>
              <w:t>payable</w:t>
            </w:r>
            <w:r>
              <w:rPr>
                <w:rFonts w:ascii="Lato" w:hAnsi="Lato"/>
              </w:rPr>
              <w:t>) which may also be referred to as the “flat rate” i.e. the rate of performance fee which may be applied in all models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Note: </w:t>
            </w:r>
            <w:r w:rsidRPr="004E6794">
              <w:rPr>
                <w:rFonts w:ascii="Lato" w:hAnsi="Lato"/>
                <w:szCs w:val="22"/>
              </w:rPr>
              <w:t xml:space="preserve">It is not the Central Bank’s practice to approve performance fees above 20% </w:t>
            </w:r>
            <w:r w:rsidRPr="004E6794">
              <w:rPr>
                <w:rFonts w:ascii="Lato" w:hAnsi="Lato"/>
              </w:rPr>
              <w:t xml:space="preserve">of the increase over the previous highest NAV or 20% of the amount by which the </w:t>
            </w:r>
            <w:r>
              <w:rPr>
                <w:rFonts w:ascii="Lato" w:hAnsi="Lato"/>
              </w:rPr>
              <w:t xml:space="preserve">AIF </w:t>
            </w:r>
            <w:r w:rsidRPr="004E6794">
              <w:rPr>
                <w:rFonts w:ascii="Lato" w:hAnsi="Lato"/>
              </w:rPr>
              <w:t>outperforms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w:t>
            </w:r>
            <w:r w:rsidRPr="00435A58">
              <w:rPr>
                <w:rFonts w:ascii="Lato" w:hAnsi="Lato"/>
              </w:rPr>
              <w:t xml:space="preserve">) </w:t>
            </w:r>
            <w:r>
              <w:rPr>
                <w:rFonts w:ascii="Lato" w:hAnsi="Lato"/>
              </w:rPr>
              <w:t xml:space="preserve">The performance fee methodology defining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method for the calculation of the performance fees based on the abovementioned inputs and any other relevant inputs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35A58">
              <w:rPr>
                <w:rFonts w:ascii="Lato" w:hAnsi="Lato"/>
              </w:rPr>
              <w:t>(</w:t>
            </w:r>
            <w:r>
              <w:rPr>
                <w:rFonts w:ascii="Lato" w:hAnsi="Lato"/>
              </w:rPr>
              <w:t>vii</w:t>
            </w:r>
            <w:r w:rsidRPr="00435A58">
              <w:rPr>
                <w:rFonts w:ascii="Lato" w:hAnsi="Lato"/>
              </w:rPr>
              <w:t xml:space="preserve">) </w:t>
            </w:r>
            <w:r>
              <w:rPr>
                <w:rFonts w:ascii="Lato" w:hAnsi="Lato"/>
              </w:rPr>
              <w:t xml:space="preserve">The computation frequency which should coincide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with the calculation frequency of the NAV (e.g. if the AIF calculates its NAV daily, the performance fee should be calculated and accrued in the NAV on a daily basis)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w:t>
            </w:r>
            <w:r>
              <w:rPr>
                <w:rFonts w:ascii="Lato" w:hAnsi="Lato"/>
              </w:rPr>
              <w:t>v</w:t>
            </w:r>
            <w:r w:rsidRPr="004E6794">
              <w:rPr>
                <w:rFonts w:ascii="Lato" w:hAnsi="Lato"/>
              </w:rPr>
              <w:t xml:space="preserve">iii) </w:t>
            </w:r>
            <w:r>
              <w:rPr>
                <w:rFonts w:ascii="Lato" w:hAnsi="Lato"/>
                <w:kern w:val="32"/>
                <w:szCs w:val="32"/>
              </w:rPr>
              <w:t>the date when the performance fee is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(ix) </w:t>
            </w:r>
            <w:r>
              <w:rPr>
                <w:rFonts w:ascii="Lato" w:hAnsi="Lato"/>
                <w:kern w:val="32"/>
                <w:szCs w:val="32"/>
              </w:rPr>
              <w:t xml:space="preserve">concrete examples of how the performance fee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be calculated to provide investors with a better understanding of the performance fee model especially where the performance fee model allows for performance fees to be charged even in case of negative performance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Confirm</w:t>
            </w:r>
            <w:r w:rsidRPr="001E1434">
              <w:rPr>
                <w:rFonts w:ascii="Lato" w:hAnsi="Lato"/>
              </w:rPr>
              <w:t xml:space="preserve"> that: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(i)The calculation of the performance fee does not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spacing w:line="240" w:lineRule="auto"/>
              <w:jc w:val="both"/>
              <w:rPr>
                <w:rFonts w:ascii="Lato" w:hAnsi="Lato"/>
              </w:rPr>
            </w:pPr>
            <w:r>
              <w:rPr>
                <w:rFonts w:ascii="Lato" w:hAnsi="Lato"/>
              </w:rPr>
              <w:t>crystallise more than once per year,</w:t>
            </w:r>
          </w:p>
          <w:p w:rsidR="00707026" w:rsidRPr="008C6087" w:rsidRDefault="00707026" w:rsidP="00707026">
            <w:pPr>
              <w:spacing w:line="240" w:lineRule="auto"/>
              <w:rPr>
                <w:rFonts w:ascii="Lato" w:hAnsi="Lato"/>
                <w:szCs w:val="22"/>
              </w:rPr>
            </w:pPr>
            <w:r>
              <w:rPr>
                <w:rFonts w:ascii="Lato" w:hAnsi="Lato"/>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(ii)The performance fee is not paid more than once per year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(iii) The performance fee model is consistent with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AIF investment objectives, strategy and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The crystallisation date is the same for all share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of the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B0373F">
              <w:rPr>
                <w:rFonts w:ascii="Lato" w:hAnsi="Lato" w:cs="Arial"/>
              </w:rPr>
              <w:t xml:space="preserve">The crystallisation date </w:t>
            </w:r>
            <w:r>
              <w:rPr>
                <w:rFonts w:ascii="Lato" w:hAnsi="Lato" w:cs="Arial"/>
              </w:rPr>
              <w:t xml:space="preserve">should seek to </w:t>
            </w:r>
            <w:r w:rsidRPr="00B0373F">
              <w:rPr>
                <w:rFonts w:ascii="Lato" w:hAnsi="Lato" w:cs="Arial"/>
              </w:rPr>
              <w:t>align with 31 December or with the end of the financial year of the</w:t>
            </w:r>
            <w:r>
              <w:rPr>
                <w:rFonts w:ascii="Lato" w:hAnsi="Lato" w:cs="Arial"/>
              </w:rPr>
              <w:t xml:space="preserve"> AIF</w:t>
            </w:r>
            <w:r w:rsidRPr="00B0373F">
              <w:rPr>
                <w:rFonts w:ascii="Lato" w:hAnsi="Lato" w:cs="Arial"/>
              </w:rPr>
              <w: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Upon investor’s redemptions, performance fees, if any,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crystallise in due proportions on the date of the investor’s redemption.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t>
            </w:r>
            <w:r>
              <w:rPr>
                <w:rFonts w:ascii="Lato" w:hAnsi="Lato"/>
                <w:kern w:val="32"/>
                <w:szCs w:val="32"/>
              </w:rPr>
              <w:t xml:space="preserve">The performance fee model is designed to 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kern w:val="32"/>
                <w:szCs w:val="32"/>
              </w:rPr>
              <w:t>the manager is not incentivised to take excessive risks and that cumulative gains are duly offset by cumulative losses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 </w:t>
            </w:r>
            <w:r w:rsidRPr="004E6794">
              <w:rPr>
                <w:rFonts w:ascii="Lato" w:hAnsi="Lato"/>
              </w:rPr>
              <w:t xml:space="preserve">Provide that the calculation of the performance fee is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verified </w:t>
            </w:r>
            <w:r w:rsidRPr="004E6794">
              <w:rPr>
                <w:rFonts w:ascii="Lato" w:hAnsi="Lato"/>
              </w:rPr>
              <w:t>by the depositary</w:t>
            </w:r>
            <w:r>
              <w:rPr>
                <w:rFonts w:ascii="Lato" w:hAnsi="Lato"/>
              </w:rPr>
              <w:t xml:space="preserve"> </w:t>
            </w:r>
            <w:r w:rsidRPr="00F627B2">
              <w:rPr>
                <w:rFonts w:ascii="Lato" w:hAnsi="Lato"/>
                <w:szCs w:val="22"/>
              </w:rPr>
              <w:t>or a competent person appointed by the AIFM and approved for the purpose by the depositary</w:t>
            </w:r>
            <w:r>
              <w:rPr>
                <w:rFonts w:ascii="Lato" w:hAnsi="Lato"/>
                <w:szCs w:val="22"/>
              </w:rPr>
              <w:t>,</w:t>
            </w:r>
            <w:r w:rsidRPr="00736051">
              <w:rPr>
                <w:rFonts w:ascii="Lato" w:hAnsi="Lato"/>
              </w:rPr>
              <w:t xml:space="preserve"> and not open to the possibility </w:t>
            </w:r>
            <w:r w:rsidRPr="00736051">
              <w:rPr>
                <w:rFonts w:ascii="Lato" w:hAnsi="Lato"/>
                <w:kern w:val="32"/>
                <w:szCs w:val="32"/>
              </w:rPr>
              <w:t>of manipulation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(ii) Provide that excess performance should be calculated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net of all costs but could be calculated without deducting the performance fee itself, provided that in doing so it is in the investor’s best interest (i.e. it would result in the investor paying less fees)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f)</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30D2">
              <w:rPr>
                <w:rFonts w:ascii="Lato" w:hAnsi="Lato"/>
                <w:szCs w:val="22"/>
                <w:u w:val="single"/>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Provide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No performance fee is accrued/paid until the net asset value per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1E4A73">
              <w:rPr>
                <w:rFonts w:ascii="Lato" w:hAnsi="Lato"/>
                <w:szCs w:val="22"/>
              </w:rPr>
              <w:t>share</w:t>
            </w:r>
            <w:r w:rsidRPr="00F627B2">
              <w:rPr>
                <w:rFonts w:ascii="Lato" w:hAnsi="Lato"/>
                <w:szCs w:val="22"/>
              </w:rPr>
              <w:t xml:space="preserve"> exceeds the previous highest net asset value per share on which the performance fee was paid/accrued (or the initial offer price if higher)  (the “water 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only payable/paid on the increase over the “water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g)</w:t>
            </w:r>
          </w:p>
        </w:tc>
        <w:tc>
          <w:tcPr>
            <w:tcW w:w="6972" w:type="dxa"/>
            <w:tcBorders>
              <w:top w:val="nil"/>
              <w:left w:val="nil"/>
              <w:bottom w:val="nil"/>
              <w:right w:val="nil"/>
            </w:tcBorders>
          </w:tcPr>
          <w:p w:rsidR="00707026" w:rsidRPr="00F630D2" w:rsidRDefault="00707026" w:rsidP="00707026">
            <w:pPr>
              <w:pStyle w:val="Heading1"/>
              <w:spacing w:before="0" w:after="0" w:line="240" w:lineRule="auto"/>
              <w:rPr>
                <w:rFonts w:ascii="Lato" w:eastAsia="Arial Unicode MS" w:hAnsi="Lato"/>
                <w:color w:val="auto"/>
                <w:sz w:val="22"/>
                <w:szCs w:val="22"/>
                <w:u w:val="single"/>
              </w:rPr>
            </w:pPr>
            <w:r w:rsidRPr="00F630D2">
              <w:rPr>
                <w:rFonts w:ascii="Lato" w:hAnsi="Lato"/>
                <w:color w:val="auto"/>
                <w:sz w:val="22"/>
                <w:szCs w:val="22"/>
                <w:u w:val="single"/>
              </w:rPr>
              <w:t>Out-performance of an index</w:t>
            </w:r>
          </w:p>
          <w:p w:rsidR="00707026" w:rsidRPr="008C6087" w:rsidRDefault="00707026" w:rsidP="00707026">
            <w:pPr>
              <w:spacing w:line="240" w:lineRule="auto"/>
              <w:rPr>
                <w:rFonts w:ascii="Lato" w:hAnsi="Lato"/>
                <w:szCs w:val="22"/>
              </w:rPr>
            </w:pPr>
            <w:r w:rsidRPr="00F627B2">
              <w:rPr>
                <w:rFonts w:ascii="Lato" w:hAnsi="Lato"/>
                <w:szCs w:val="22"/>
              </w:rPr>
              <w:t xml:space="preserve">Confirm: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The index is relevant in the context of the Retail Investor AIF’s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fee is payable only on the amount by which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Retail Investor AIF out performs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u w:val="single"/>
              </w:rPr>
              <w:t>And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 xml:space="preserve">(iii) </w:t>
            </w:r>
            <w:r w:rsidRPr="00F627B2">
              <w:rPr>
                <w:rFonts w:ascii="Lato" w:hAnsi="Lato"/>
                <w:szCs w:val="22"/>
              </w:rPr>
              <w:t xml:space="preserve">Any underperformance of the index in preceding periods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is clawed back (cleared) before a fee becomes due in subsequent periods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Retail Investor AIF</w:t>
            </w:r>
            <w:r w:rsidRPr="00F627B2" w:rsidDel="00F574A7">
              <w:rPr>
                <w:rFonts w:ascii="Lato" w:hAnsi="Lato"/>
                <w:szCs w:val="22"/>
              </w:rPr>
              <w:t xml:space="preserve"> </w:t>
            </w:r>
            <w:r w:rsidRPr="00F627B2">
              <w:rPr>
                <w:rFonts w:ascii="Lato" w:hAnsi="Lato"/>
                <w:szCs w:val="22"/>
              </w:rPr>
              <w:t>s whose investment policy is to replicate an</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F627B2" w:rsidRDefault="00707026" w:rsidP="00707026">
            <w:pPr>
              <w:spacing w:line="240" w:lineRule="auto"/>
              <w:rPr>
                <w:rFonts w:ascii="Lato" w:hAnsi="Lato"/>
                <w:szCs w:val="22"/>
              </w:rPr>
            </w:pPr>
            <w:r w:rsidRPr="00F627B2">
              <w:rPr>
                <w:rFonts w:ascii="Lato" w:hAnsi="Lato"/>
                <w:szCs w:val="22"/>
              </w:rPr>
              <w:t>Index, this limit is increased to 35% in the case of a single</w:t>
            </w:r>
          </w:p>
          <w:p w:rsidR="00707026" w:rsidRPr="00F627B2" w:rsidRDefault="00707026" w:rsidP="00707026">
            <w:pPr>
              <w:spacing w:line="240" w:lineRule="auto"/>
              <w:rPr>
                <w:rFonts w:ascii="Lato" w:hAnsi="Lato"/>
                <w:szCs w:val="22"/>
              </w:rPr>
            </w:pPr>
            <w:r w:rsidRPr="00F627B2">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(iv) Where a UCITS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computes performance fees with a benchmark model based on a different but consistent index, the choice of index is explained in the prospectus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Confirm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 Where the UCITS is managed in reference to an index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and the performance fee is based on outperforming an index, that the same index is used (except where the UCITS’ holdings are not based upon the holdings of the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 Where a UCITS is managed in reference to a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benchmark but the UCITS’ portfolio holdings are not based upon the holdings of the benchmark (the index is used as a universe from which to select securities), the benchmark used for the portfolio composition is consistent with the benchmark used for the calculation of the performance fee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Consistency should be primarily assessed against the similar risk-return profile of different benchmarks.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 xml:space="preserve">(vii) Where performance fees are payable on the basis of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out-performance of a benchmark, a reference indicator is not set a systematically lower threshold for fee calculation than the actual benchmark</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h)</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4E6794">
              <w:rPr>
                <w:rFonts w:ascii="Lato" w:hAnsi="Lato"/>
              </w:rPr>
              <w:t xml:space="preserve">Risk warnings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4E6794">
              <w:rPr>
                <w:rFonts w:ascii="Lato" w:hAnsi="Lato"/>
              </w:rPr>
              <w:t xml:space="preserve">(i) </w:t>
            </w:r>
            <w:r>
              <w:rPr>
                <w:rFonts w:ascii="Lato" w:hAnsi="Lato"/>
              </w:rPr>
              <w:t>the</w:t>
            </w:r>
            <w:r w:rsidRPr="004E6794">
              <w:rPr>
                <w:rFonts w:ascii="Lato" w:hAnsi="Lato"/>
              </w:rPr>
              <w:t xml:space="preserve"> performance fee is based on net realised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A842D3">
              <w:rPr>
                <w:rFonts w:ascii="Lato" w:hAnsi="Lato"/>
              </w:rPr>
              <w:t xml:space="preserve">and </w:t>
            </w:r>
            <w:r w:rsidRPr="004E6794">
              <w:rPr>
                <w:rFonts w:ascii="Lato" w:hAnsi="Lato"/>
              </w:rPr>
              <w:t xml:space="preserve">net unrealised gains and losses as at the end of each calculation period and as a result, </w:t>
            </w:r>
            <w:r>
              <w:rPr>
                <w:rFonts w:ascii="Lato" w:hAnsi="Lato"/>
              </w:rPr>
              <w:t>performance</w:t>
            </w:r>
            <w:r w:rsidRPr="004E6794">
              <w:rPr>
                <w:rFonts w:ascii="Lato" w:hAnsi="Lato"/>
              </w:rPr>
              <w:t xml:space="preser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 Where a performance fee may be paid in times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rPr>
              <w:t>negative performance (for example, the UCITS has out-performed its reference benchmark index, but, overall has a negative performance) include a prominent warning to investors in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rPr>
              <w:t xml:space="preserve">(iii) </w:t>
            </w:r>
            <w:r w:rsidRPr="00CA4B2E">
              <w:rPr>
                <w:rFonts w:ascii="Lato" w:hAnsi="Lato"/>
              </w:rPr>
              <w:t>T</w:t>
            </w:r>
            <w:r w:rsidRPr="00CA4B2E">
              <w:rPr>
                <w:rFonts w:ascii="Lato" w:hAnsi="Lato" w:cs="Arial"/>
              </w:rPr>
              <w:t xml:space="preserve">he </w:t>
            </w:r>
            <w:r>
              <w:rPr>
                <w:rFonts w:ascii="Lato" w:hAnsi="Lato" w:cs="Arial"/>
              </w:rPr>
              <w:t>p</w:t>
            </w:r>
            <w:r w:rsidRPr="00CA4B2E">
              <w:rPr>
                <w:rFonts w:ascii="Lato" w:hAnsi="Lato" w:cs="Arial"/>
              </w:rPr>
              <w:t xml:space="preserve">rospectus should display the name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CA4B2E">
              <w:rPr>
                <w:rFonts w:ascii="Lato" w:hAnsi="Lato" w:cs="Arial"/>
              </w:rPr>
              <w:t>benchmark and s</w:t>
            </w:r>
            <w:r>
              <w:rPr>
                <w:rFonts w:ascii="Lato" w:hAnsi="Lato" w:cs="Arial"/>
              </w:rPr>
              <w:t>how past performance against it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 </w:t>
            </w:r>
            <w:r w:rsidRPr="00F627B2">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Pr>
                <w:rFonts w:ascii="Lato" w:hAnsi="Lato"/>
                <w:szCs w:val="22"/>
              </w:rPr>
              <w:t xml:space="preserve">(ii) </w:t>
            </w:r>
            <w:r w:rsidRPr="00F627B2">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405CAD">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F627B2">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2.15.6</w:t>
            </w:r>
            <w:r>
              <w:rPr>
                <w:rFonts w:ascii="Lato" w:hAnsi="Lato"/>
                <w:szCs w:val="22"/>
              </w:rPr>
              <w:t>B</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Performance/Incentive fee may be provided for as follows: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which of the following methods is being utilised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payable on new high net asset value per share over the life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payable on out-performance of an index</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initial offer price is taken as the starting price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for the calculations (i.e. the performance fee payment can only be paid on the subsequent outperformance by the nav per share of the initial offer price)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calculation period for determining the fee.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first calculation period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How the performance fee is calculated, i.e. % of increase over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previous highest nav per share on which a fee was paid, etc.</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Accrual basis of fee and when it is actually paid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Provide that the calculation of the performance fee must be verified by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depositary or a competent person appointed by the AIFM and approved for the purpose by the depositary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Payable on new high net asset value per share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No performance fee is accrued/paid until the net asset value per share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exceeds the previous highest net asset value per share on which the performance fee was paid/accrued (or the initial offer price if higher)  (the “water mark”);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fee is only payable/paid on the increase over the “water mark”.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Out-performance of an index</w:t>
            </w:r>
          </w:p>
          <w:p w:rsidR="00707026" w:rsidRPr="008C6087" w:rsidRDefault="00707026" w:rsidP="00707026">
            <w:pPr>
              <w:spacing w:line="240" w:lineRule="auto"/>
              <w:rPr>
                <w:rFonts w:ascii="Lato" w:hAnsi="Lato"/>
                <w:szCs w:val="22"/>
              </w:rPr>
            </w:pPr>
            <w:r w:rsidRPr="008C6087">
              <w:rPr>
                <w:rFonts w:ascii="Lato" w:hAnsi="Lato"/>
                <w:szCs w:val="22"/>
              </w:rPr>
              <w:t xml:space="preserve">Ensure that: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index is relevant in the context of the Retail Investor AIF’s policy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fee is payable only on the amount by which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Retail Investor AIF out performs the index</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And</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Any underperformance of the index in preceding periods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is clawed back (cleared) before a fee becomes due in subsequent periods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 xml:space="preserve"> (iv)</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For Retail Investor AIF</w:t>
            </w:r>
            <w:r w:rsidRPr="008C6087" w:rsidDel="00F574A7">
              <w:rPr>
                <w:rFonts w:ascii="Lato" w:hAnsi="Lato"/>
                <w:szCs w:val="22"/>
              </w:rPr>
              <w:t xml:space="preserve"> </w:t>
            </w:r>
            <w:r w:rsidRPr="008C6087">
              <w:rPr>
                <w:rFonts w:ascii="Lato" w:hAnsi="Lato"/>
                <w:szCs w:val="22"/>
              </w:rPr>
              <w:t>s whose investment policy is to replicate an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Index, this limit is increased to 35% in the case of a single</w:t>
            </w:r>
          </w:p>
          <w:p w:rsidR="00707026" w:rsidRPr="008C6087" w:rsidRDefault="00707026" w:rsidP="00707026">
            <w:pPr>
              <w:spacing w:line="240" w:lineRule="auto"/>
              <w:rPr>
                <w:rFonts w:ascii="Lato" w:hAnsi="Lato"/>
                <w:szCs w:val="22"/>
              </w:rPr>
            </w:pPr>
            <w:r w:rsidRPr="008C6087">
              <w:rPr>
                <w:rFonts w:ascii="Lato" w:hAnsi="Lato"/>
                <w:szCs w:val="22"/>
              </w:rPr>
              <w:t>issuer where this is justified by exceptional market conditions</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Risk warnings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Disclose that the performance fee is based on net realised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net unrealised gains and losses as at the end of each calculation period and as a result, incentive fees may be paid on unrealised gains which may subsequently never be realised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For multi-manager/adviser scheme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 that: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4"/>
              </w:numPr>
              <w:spacing w:line="240" w:lineRule="auto"/>
              <w:jc w:val="right"/>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It is possible that incentive fees in respect of performance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achieved may be payable to one or more of the investment advisers even though the overall NAV of the fund may not have increased;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numPr>
                <w:ilvl w:val="0"/>
                <w:numId w:val="5"/>
              </w:num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performance fee is payable only on the performance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that part of the portfolio for which the investment manager/adviser is responsible.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2.15.7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u w:val="single"/>
              </w:rPr>
              <w:t>Directed brokerage services and similar arrangements (e.g. fee sharing, commission rebates, retrocessions and hard commissions)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    </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full details of any directed brokerage services 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similar arrangement operated in relation to the Retail Investor AIF (including details of the services provided).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center"/>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 ‘The Retail Investor AIF shall ensure that where a person, acting on its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behalf, successfully negotiates the recapture of a portion of the commissions charged by brokers or dealers in connection with the purchase and/or sale of securities, the rebated commission shall be paid to the Retail Investor AIF’;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relevant provide that ‘ the Retail Investor AIF shall not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reimburse out of its assets the operator of the directed brokerage</w:t>
            </w:r>
            <w:r w:rsidRPr="008C6087" w:rsidDel="00950044">
              <w:rPr>
                <w:rFonts w:ascii="Lato" w:hAnsi="Lato"/>
                <w:szCs w:val="22"/>
              </w:rPr>
              <w:t xml:space="preserve"> </w:t>
            </w:r>
            <w:r w:rsidRPr="008C6087">
              <w:rPr>
                <w:rFonts w:ascii="Lato" w:hAnsi="Lato"/>
                <w:szCs w:val="22"/>
              </w:rPr>
              <w:t xml:space="preserve">services or similar arrangement  for reasonable properly vouched costs, fees and expenses directly incurred by the operator in relation to the services or arrangement unless the prospectus disclosure required by Section 2.16.11(a) has been made ’ </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r w:rsidRPr="008C6087">
              <w:rPr>
                <w:rFonts w:ascii="Lato" w:hAnsi="Lato"/>
                <w:szCs w:val="22"/>
              </w:rPr>
              <w:t>Note: The Retail Investor AIF must be separately invoiced for these fees and expenses by the operator of the directed brokerage programme.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2.16</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Taxation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Brief indication relevant to unitholders/shareholders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tax system applicable to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2.16.2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Details of whether deductions are made at source from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income and capital gains paid by the Retail Investor AIF to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2.17</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Statutory Information</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2.17.1</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Unit Trust</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a unit in the Unit Trust represents the beneficial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ownership of one undivided share in the assets of the Unit Trust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2.17.2</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Voting rights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Give indication of unitholders/shareholders voting rights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2.17.3</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Winding up/Termination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Set out the distribution provisions on the termination/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winding up of the scheme, in particular those affecting unitholders/shareholders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the provisions reflect the 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Circumstances in which winding-up of the Retail Investor AIF can be</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decided on and winding-up procedure, in particular as regards the rights of the Unitholder </w:t>
            </w:r>
          </w:p>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 (i)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circumstances in which the shares/units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Retail Investor AIF, or a sub-fund thereof, can be redeemed compulsorily.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nil"/>
            </w:tcBorders>
          </w:tcPr>
          <w:p w:rsidR="00707026" w:rsidRPr="008C6087" w:rsidRDefault="00707026" w:rsidP="00707026">
            <w:pPr>
              <w:pStyle w:val="Heading9"/>
              <w:rPr>
                <w:rFonts w:ascii="Lato" w:hAnsi="Lato"/>
                <w:szCs w:val="22"/>
              </w:rPr>
            </w:pPr>
            <w:r w:rsidRPr="008C6087">
              <w:rPr>
                <w:rFonts w:ascii="Lato" w:hAnsi="Lato"/>
                <w:szCs w:val="22"/>
              </w:rPr>
              <w:t xml:space="preserve">Confirm the compulsory redemption provisions reflect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constitutional document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2.17.4</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Valuation Rules for the Retail Investor AIF’s assets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The method used to value the assets of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Provide that the Retail Investor AIF values as often as it deals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(issues and redeems)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 xml:space="preserve">Insert a description of the Retail Investor AIF’s valuation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procedure and pricing methodology for valuing assets, including the methods used in valuing hard-to-value assets as per the constitutional document.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Disclose details of the external valuer, where relevant</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Pr>
                <w:rFonts w:ascii="Lato" w:hAnsi="Lato"/>
                <w:szCs w:val="22"/>
              </w:rPr>
              <w:t>(ii)</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Appendix 3 is completed and is attached</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2.17.5</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b/>
                <w:bCs/>
                <w:color w:val="auto"/>
                <w:sz w:val="22"/>
                <w:szCs w:val="22"/>
              </w:rPr>
            </w:pPr>
            <w:r w:rsidRPr="008C6087">
              <w:rPr>
                <w:rFonts w:ascii="Lato" w:hAnsi="Lato"/>
                <w:color w:val="auto"/>
                <w:sz w:val="22"/>
                <w:szCs w:val="22"/>
              </w:rPr>
              <w:t xml:space="preserve">Publication of Subscription/Redemption Prices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means, frequency and places of the publication of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latest net asset value of the Retail Investor AIF or the latest market price of the unit of the Retail Investor AIF prices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method(s) provided, i.e.,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Published in newspaper; and/or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Made available on internet;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are also available from the office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of the Retail Investor AIF, its manager or administrator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 publication is as frequently as the Retail Investor AIF is dealing</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2.17.6</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newspaper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name of the newspaper(s);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dealing prices are being published in a newspaper(s)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jurisdiction(s) where marketing takes place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2.17.7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Requirements for internet publication (if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information in relation to the publication policy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adopted by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dealing prices, posted on the internet,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up-to-date.</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2.18</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Umbrella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 the case of an investment company provide on the cover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prospectus that the Retail Investor AIF is ‘an umbrella Retail Investor AIF with segregated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2.18.2</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Investment companies which were authorised and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commenced trading before 30 June 2005 and which do not have segregated liability between sub-funds must clearly disclose the potential risks to unitholders arising from the absence of the segregation of liability between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new sub-funds require the prior approval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2.18.4</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List all the sub-funds approved by the Central Bank</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2.18.5</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If a separate prospectus is being produced for each sub-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fund, ensure a list of all sub-funds approved is included in each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ight="-109"/>
              <w:rPr>
                <w:rFonts w:ascii="Lato" w:hAnsi="Lato"/>
                <w:szCs w:val="22"/>
              </w:rPr>
            </w:pPr>
            <w:r w:rsidRPr="008C6087">
              <w:rPr>
                <w:rFonts w:ascii="Lato" w:hAnsi="Lato"/>
                <w:szCs w:val="22"/>
              </w:rPr>
              <w:t>2.18.6</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Similarly, if a supplement is being produced for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sub-fund, ensure the prospectus lists all sub-funds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all the sub-funds are not named in the main prospectus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r w:rsidRPr="008C6087">
              <w:rPr>
                <w:rFonts w:ascii="Lato" w:hAnsi="Lato"/>
                <w:szCs w:val="22"/>
              </w:rPr>
              <w:t>ensure that they are all listed  in each supplement or a separate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2.18.7</w:t>
            </w:r>
          </w:p>
        </w:tc>
        <w:tc>
          <w:tcPr>
            <w:tcW w:w="6972" w:type="dxa"/>
            <w:tcBorders>
              <w:top w:val="nil"/>
              <w:left w:val="nil"/>
              <w:bottom w:val="nil"/>
              <w:right w:val="single" w:sz="4" w:space="0" w:color="auto"/>
            </w:tcBorders>
          </w:tcPr>
          <w:p w:rsidR="00707026" w:rsidRPr="008C6087" w:rsidDel="00D0045C" w:rsidRDefault="00707026" w:rsidP="00707026">
            <w:pPr>
              <w:spacing w:line="240" w:lineRule="auto"/>
              <w:rPr>
                <w:rFonts w:ascii="Lato" w:hAnsi="Lato"/>
                <w:szCs w:val="22"/>
              </w:rPr>
            </w:pPr>
            <w:r w:rsidRPr="008C6087">
              <w:rPr>
                <w:rFonts w:ascii="Lato" w:hAnsi="Lato"/>
                <w:szCs w:val="22"/>
              </w:rPr>
              <w:t xml:space="preserve">Where relevant state in bold text that the supplement forms part of,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and</w:t>
            </w:r>
            <w:r w:rsidRPr="008C6087">
              <w:rPr>
                <w:rFonts w:ascii="Lato" w:hAnsi="Lato"/>
                <w:szCs w:val="22"/>
              </w:rPr>
              <w:t xml:space="preserve"> should be read in conjunction with the prospectus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D0045C"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2.18.8</w:t>
            </w: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 xml:space="preserve">Confirm that investment companies authorised before 30 June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Heading1"/>
              <w:spacing w:before="0" w:after="0" w:line="240" w:lineRule="auto"/>
              <w:rPr>
                <w:rFonts w:ascii="Lato" w:hAnsi="Lato"/>
                <w:color w:val="auto"/>
                <w:sz w:val="22"/>
                <w:szCs w:val="22"/>
              </w:rPr>
            </w:pPr>
            <w:r w:rsidRPr="008C6087">
              <w:rPr>
                <w:rFonts w:ascii="Lato" w:hAnsi="Lato"/>
                <w:color w:val="auto"/>
                <w:sz w:val="22"/>
                <w:szCs w:val="22"/>
              </w:rPr>
              <w:t>2005, which have as an investment objective the employment of leverage, may not establish additional sub-funds unless the umbrella Retail Investor AIF has taken measures necessary to apply segregated liability between sub-funds.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2.18.9</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Exchanges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If provided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procedures for the exchange of shares.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charges, if any, applicable to the exchanges of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units in one sub-fund for units in another</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2.18.10</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u w:val="single"/>
              </w:rPr>
            </w:pPr>
            <w:r w:rsidRPr="008C6087">
              <w:rPr>
                <w:rFonts w:ascii="Lato" w:hAnsi="Lato"/>
                <w:szCs w:val="22"/>
              </w:rPr>
              <w:t>If applicable,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ability to invest in other sub-funds of the Umbrella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the extent to which sub-fund may invest in another sub-fund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and the conditions which apply to such investments.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Where a sub-fund (the “Investing Fund”) of an umbrella Retail Investor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AIF invests in the units of other sub-funds of that umbrella (each a “Receiving Fund”), the rate of the annual management fee which investors in the Investing Fund are charged in respect of that portion of the Investing Fund’s assets invested in Receiving Funds (whether such fee is paid directly at the Investing Fund level, indirectly at the level of the Receiving Funds or a combination of both) may not exceed the rate of the maximum annual management fee which investors in the Investing Fund may be charged in respect of the balance of the Investing Fund’s assets, such that there shall be no double charging of annual management fee to the Investing Fund as a result of its investments in the Receiving Fund. This provision is also applicable to the annual fee charged by an investment manager where this fee is paid directly out of the assets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Investment by way of transfer for consideration is subject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366D5D">
              <w:rPr>
                <w:rFonts w:ascii="Lato" w:hAnsi="Lato"/>
                <w:szCs w:val="22"/>
              </w:rPr>
              <w:t>to</w:t>
            </w:r>
            <w:r w:rsidRPr="008C6087">
              <w:rPr>
                <w:rFonts w:ascii="Lato" w:hAnsi="Lato"/>
                <w:szCs w:val="22"/>
              </w:rPr>
              <w:t xml:space="preserve"> prior notification to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nil"/>
            </w:tcBorders>
          </w:tcPr>
          <w:p w:rsidR="00707026" w:rsidRPr="008C6087" w:rsidRDefault="00707026" w:rsidP="00707026">
            <w:pPr>
              <w:spacing w:line="240" w:lineRule="auto"/>
              <w:rPr>
                <w:rFonts w:ascii="Lato" w:hAnsi="Lato"/>
                <w:szCs w:val="22"/>
              </w:rPr>
            </w:pPr>
            <w:r w:rsidRPr="008C6087">
              <w:rPr>
                <w:rFonts w:ascii="Lato" w:hAnsi="Lato"/>
                <w:szCs w:val="22"/>
              </w:rPr>
              <w:t>2.19</w:t>
            </w:r>
          </w:p>
        </w:tc>
        <w:tc>
          <w:tcPr>
            <w:tcW w:w="6972" w:type="dxa"/>
            <w:tcBorders>
              <w:top w:val="single" w:sz="4" w:space="0" w:color="auto"/>
              <w:left w:val="nil"/>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Warehousing</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any proposals to acquire assets pursuant to a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warehousing arrangement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details of any fee payable in relation to such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arrangements;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State that the Retail Investor AIF will pay no more than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current market value for these assets.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2.20</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Classes of Funds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2.20.1</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a separate prospectus is not being issued for classes.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2.20.2</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Confirm the constitutional document provides for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classes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2.20.3</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Clearly disclose how the net asset value per share class is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calculated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2.20.4</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notified to, and cleared, in advance with the Central Bank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 creation of further share classes must be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effected in accordance with the requirements of the Central Bank</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2.20.5</w:t>
            </w:r>
          </w:p>
        </w:tc>
        <w:tc>
          <w:tcPr>
            <w:tcW w:w="6972" w:type="dxa"/>
            <w:tcBorders>
              <w:top w:val="nil"/>
              <w:left w:val="nil"/>
              <w:bottom w:val="nil"/>
              <w:right w:val="nil"/>
            </w:tcBorders>
          </w:tcPr>
          <w:p w:rsidR="00707026" w:rsidRPr="008C6087" w:rsidRDefault="00707026" w:rsidP="00707026">
            <w:pPr>
              <w:pStyle w:val="Heading6"/>
              <w:rPr>
                <w:rFonts w:ascii="Lato" w:eastAsia="Arial Unicode MS" w:hAnsi="Lato"/>
                <w:b w:val="0"/>
                <w:szCs w:val="22"/>
              </w:rPr>
            </w:pPr>
            <w:r w:rsidRPr="008C6087">
              <w:rPr>
                <w:rFonts w:ascii="Lato" w:hAnsi="Lato"/>
                <w:b w:val="0"/>
                <w:i/>
                <w:iCs/>
                <w:szCs w:val="22"/>
              </w:rPr>
              <w:t>Where a class is being provided for by way of a supplement</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Confirm:</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supplement only contains information specific to the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 particular class (e.g. fees, distribution policy);</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The prospectus indicates that details of the classes will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be disclosed in the relevant supplement;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The name of the Retail Investor AIF</w:t>
            </w:r>
            <w:r w:rsidRPr="008C6087" w:rsidDel="00AA2700">
              <w:rPr>
                <w:rFonts w:ascii="Lato" w:hAnsi="Lato"/>
                <w:szCs w:val="22"/>
              </w:rPr>
              <w:t xml:space="preserve"> </w:t>
            </w:r>
            <w:r w:rsidRPr="008C6087">
              <w:rPr>
                <w:rFonts w:ascii="Lato" w:hAnsi="Lato"/>
                <w:szCs w:val="22"/>
              </w:rPr>
              <w:t xml:space="preserve">(and sub-fund, 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applicable) are contained in the supplement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2.20.6</w:t>
            </w:r>
          </w:p>
        </w:tc>
        <w:tc>
          <w:tcPr>
            <w:tcW w:w="6972" w:type="dxa"/>
            <w:tcBorders>
              <w:top w:val="nil"/>
              <w:left w:val="nil"/>
              <w:bottom w:val="nil"/>
              <w:right w:val="single" w:sz="4" w:space="0" w:color="auto"/>
            </w:tcBorders>
          </w:tcPr>
          <w:p w:rsidR="00707026" w:rsidRPr="008C6087" w:rsidRDefault="00707026" w:rsidP="00707026">
            <w:pPr>
              <w:pStyle w:val="Heading1"/>
              <w:spacing w:before="0" w:after="0" w:line="240" w:lineRule="auto"/>
              <w:rPr>
                <w:rFonts w:ascii="Lato" w:eastAsia="Arial Unicode MS" w:hAnsi="Lato"/>
                <w:color w:val="auto"/>
                <w:sz w:val="22"/>
                <w:szCs w:val="22"/>
              </w:rPr>
            </w:pPr>
            <w:r w:rsidRPr="008C6087">
              <w:rPr>
                <w:rFonts w:ascii="Lato" w:hAnsi="Lato"/>
                <w:color w:val="auto"/>
                <w:sz w:val="22"/>
                <w:szCs w:val="22"/>
              </w:rPr>
              <w:t>Hedged and unhedged Retail Investor AIF and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general currency hedging strategies of the Retail</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Describe clearly the features of individual currency share classes</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the Retail Investor AIF intends to invest in assets denominated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currencies other than the base currency, disclose whether it is the Retail Investor AIF’s intention to hedge the resulting currency exposure back into the base currency and, if so, to what extent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d)</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general costs and/or exchange rate risks associated with</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currency strategy.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e)</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unhedged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a currency conversion will take place on subscription,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redemption and distributions at prevailing exchange rates; and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Where appropriate, disclose that the value of the share expressed in</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class currency will be subject to exchange rate risk in relation to the base currency.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 the case of hedged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f)</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Indicate that, to the extent that hedging is successful, the performance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jc w:val="both"/>
              <w:rPr>
                <w:rFonts w:ascii="Lato" w:hAnsi="Lato"/>
                <w:szCs w:val="22"/>
              </w:rPr>
            </w:pPr>
            <w:r w:rsidRPr="008C6087">
              <w:rPr>
                <w:rFonts w:ascii="Lato" w:hAnsi="Lato"/>
                <w:szCs w:val="22"/>
              </w:rPr>
              <w:t>of the class is likely to move in line with the performance of the underlying assets and that unitholders in the hedged class will not benefit if the class currency falls against the base currency and/or the currency in which the assets of the Retail Investor AIF are denominated.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g)</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implications of the hedging policy.  This shall at a</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minimum include:</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(i) a statement indicating the extent to which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intends to hedge against currency fluctuations and noting that while not the intention, over-hedged or under-hedged positions may arise due to factors outside of the control of the Retail Investor AIF.</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 provision that over-hedged positions will not be permitted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to exceed 105% of the net asset value of the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(iii) a statement that hedged positions will be kept under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review to ensure that over-hedged positions do not exceed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105% of the net asset value of the class.  This review will also incorporate a procedure to ensure that positions materially in excess of 100% will not be carried forward from month to month</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(iv) a statement that transactions will be clearly attributable to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 specific class (therefore currency exposures of different  currency classes may not be combined or offset and currency exposures of assets of the Retail Investor AIF may not be allocated to separate share classes)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(v) a disclosure that the costs and gains/losses of the hedging</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transactions will accrue solely to the relevant class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tabs>
                <w:tab w:val="left" w:pos="34"/>
              </w:tabs>
              <w:spacing w:line="240" w:lineRule="auto"/>
              <w:ind w:right="174"/>
              <w:jc w:val="right"/>
              <w:rPr>
                <w:rFonts w:ascii="Lato" w:hAnsi="Lato"/>
                <w:szCs w:val="22"/>
              </w:rPr>
            </w:pPr>
            <w:r w:rsidRPr="008C6087">
              <w:rPr>
                <w:rFonts w:ascii="Lato" w:hAnsi="Lato"/>
                <w:szCs w:val="22"/>
              </w:rPr>
              <w:t>h)</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Disclose that the Retail Investor AIF shall only engage in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interest rate hedging at share class level where the benefits and costs of such hedging will be accrued and attributed solely to unitholders in the hedged share class; and.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that these arrangements shall be in accordance with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the requirements of Section 2.21.7 (a) to (g)</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2.20.7</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Side Pocket Share Classes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 xml:space="preserve">Provide a clear and unambiguous description of any proposed side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Heading4"/>
              <w:rPr>
                <w:rFonts w:ascii="Lato" w:hAnsi="Lato"/>
                <w:b w:val="0"/>
                <w:sz w:val="22"/>
                <w:szCs w:val="22"/>
              </w:rPr>
            </w:pPr>
            <w:r w:rsidRPr="008C6087">
              <w:rPr>
                <w:rFonts w:ascii="Lato" w:hAnsi="Lato"/>
                <w:b w:val="0"/>
                <w:szCs w:val="22"/>
              </w:rPr>
              <w:t>pocket</w:t>
            </w:r>
            <w:r w:rsidRPr="008C6087">
              <w:rPr>
                <w:rFonts w:ascii="Lato" w:hAnsi="Lato"/>
                <w:b w:val="0"/>
                <w:sz w:val="22"/>
                <w:szCs w:val="22"/>
              </w:rPr>
              <w:t xml:space="preserve"> arrangements and information on the action which will be taken in the event that the assets within the side pockets are not re-admitted to trading or otherwise increase in value and/or liquidity as anticipated.</w:t>
            </w:r>
          </w:p>
          <w:p w:rsidR="00707026" w:rsidRPr="008C6087" w:rsidRDefault="00707026" w:rsidP="00707026">
            <w:pPr>
              <w:spacing w:line="240" w:lineRule="auto"/>
              <w:rPr>
                <w:rFonts w:ascii="Lato" w:hAnsi="Lato"/>
                <w:szCs w:val="22"/>
              </w:rPr>
            </w:pP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Disclose the clause in the constitutional document which permits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creation of side pockets</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ind w:left="-108"/>
              <w:rPr>
                <w:rFonts w:ascii="Lato" w:hAnsi="Lato"/>
                <w:szCs w:val="22"/>
              </w:rPr>
            </w:pPr>
            <w:r w:rsidRPr="008C6087">
              <w:rPr>
                <w:rFonts w:ascii="Lato" w:hAnsi="Lato"/>
                <w:szCs w:val="22"/>
              </w:rPr>
              <w:t>2.20.8</w:t>
            </w: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Investment through Subsidiaries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Where applicable, 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(a) the name of the subsidiary; and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(b) that the subsidiary is wholly owned by the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2.21</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Closed-ended Retail Investor AIFs</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single" w:sz="4" w:space="0" w:color="auto"/>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2.21.1</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 xml:space="preserve">Disclose the duration of the finite closed-ended period of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Retail Investor AIF as a material part of the investment policy</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 xml:space="preserve">The maximum initial duration permitted by the Central Bank </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for a closed ended Retail Investor AIF is:</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(a) 5 years or less;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(b) 10 years or less provided this is reasonably required by the</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investment objective of the Retail Investor AIF which has made realistic provision for liquidity in its units; or</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szCs w:val="22"/>
              </w:rPr>
              <w:t>(c) greater than 10 years in the case of a Retail Investor AIF</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r w:rsidRPr="008C6087">
              <w:rPr>
                <w:rFonts w:ascii="Lato" w:hAnsi="Lato"/>
                <w:szCs w:val="22"/>
              </w:rPr>
              <w:t>which has made realistic provision for liquidity in its units and which has provided specific opportunities for the redemption of units after 10 years, by all those unitholders who may wish to do so, and on a periodic basis thereafter.</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2.21.2</w:t>
            </w:r>
          </w:p>
        </w:tc>
        <w:tc>
          <w:tcPr>
            <w:tcW w:w="6972" w:type="dxa"/>
            <w:tcBorders>
              <w:top w:val="nil"/>
              <w:left w:val="nil"/>
              <w:bottom w:val="nil"/>
              <w:right w:val="single" w:sz="4" w:space="0" w:color="auto"/>
            </w:tcBorders>
          </w:tcPr>
          <w:p w:rsidR="00707026" w:rsidRPr="008C6087" w:rsidRDefault="00707026" w:rsidP="00707026">
            <w:pPr>
              <w:pStyle w:val="BodyText3"/>
              <w:rPr>
                <w:rFonts w:ascii="Lato" w:hAnsi="Lato"/>
                <w:szCs w:val="22"/>
              </w:rPr>
            </w:pPr>
            <w:r w:rsidRPr="008C6087">
              <w:rPr>
                <w:rFonts w:ascii="Lato" w:hAnsi="Lato"/>
                <w:bCs/>
                <w:szCs w:val="22"/>
              </w:rPr>
              <w:t>Umbrella scheme:</w:t>
            </w:r>
            <w:r w:rsidRPr="008C6087">
              <w:rPr>
                <w:rFonts w:ascii="Lato" w:hAnsi="Lato"/>
                <w:szCs w:val="22"/>
              </w:rPr>
              <w:t xml:space="preserve"> disclose the closed-ended period of each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b/>
                <w:bCs/>
                <w:szCs w:val="22"/>
              </w:rPr>
            </w:pPr>
            <w:r w:rsidRPr="008C6087">
              <w:rPr>
                <w:rFonts w:ascii="Lato" w:hAnsi="Lato"/>
                <w:szCs w:val="22"/>
              </w:rPr>
              <w:t>sub-fund</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3"/>
              <w:rPr>
                <w:rFonts w:ascii="Lato" w:hAnsi="Lato"/>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Provide that at the end of finite closed-ended period) the Retail Investor AIF will undertake one of the following:  </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 xml:space="preserve">(i) </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Wind-up and apply to the Central Bank for a revocation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 xml:space="preserve">Redeem all outstanding units and apply to the Central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Bank for revocation of the Retail Investor AIF’s authorisation;</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Convert into an open-ended scheme; or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240"/>
        </w:trPr>
        <w:tc>
          <w:tcPr>
            <w:tcW w:w="1106" w:type="dxa"/>
            <w:vMerge w:val="restart"/>
            <w:tcBorders>
              <w:top w:val="nil"/>
              <w:left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(iv)</w:t>
            </w:r>
          </w:p>
          <w:p w:rsidR="00707026" w:rsidRPr="008C6087" w:rsidRDefault="00707026" w:rsidP="00707026">
            <w:pPr>
              <w:spacing w:line="240" w:lineRule="auto"/>
              <w:rPr>
                <w:rFonts w:ascii="Lato" w:hAnsi="Lato"/>
                <w:szCs w:val="22"/>
              </w:rPr>
            </w:pPr>
          </w:p>
          <w:p w:rsidR="00707026" w:rsidRPr="008C6087" w:rsidRDefault="00707026" w:rsidP="00707026">
            <w:pPr>
              <w:spacing w:line="240" w:lineRule="auto"/>
              <w:rPr>
                <w:rFonts w:ascii="Lato" w:hAnsi="Lato"/>
                <w:szCs w:val="22"/>
              </w:rPr>
            </w:pPr>
          </w:p>
        </w:tc>
        <w:tc>
          <w:tcPr>
            <w:tcW w:w="6972" w:type="dxa"/>
            <w:vMerge w:val="restart"/>
            <w:tcBorders>
              <w:top w:val="nil"/>
              <w:left w:val="nil"/>
              <w:right w:val="single" w:sz="4" w:space="0" w:color="auto"/>
            </w:tcBorders>
          </w:tcPr>
          <w:p w:rsidR="00707026" w:rsidRPr="008C6087" w:rsidRDefault="00707026" w:rsidP="00707026">
            <w:pPr>
              <w:pStyle w:val="BodyTextIndent"/>
              <w:ind w:left="-5"/>
              <w:rPr>
                <w:rFonts w:ascii="Lato" w:hAnsi="Lato"/>
                <w:b w:val="0"/>
                <w:bCs w:val="0"/>
                <w:sz w:val="22"/>
                <w:szCs w:val="22"/>
              </w:rPr>
            </w:pPr>
            <w:r w:rsidRPr="008C6087">
              <w:rPr>
                <w:rFonts w:ascii="Lato" w:hAnsi="Lato"/>
                <w:b w:val="0"/>
                <w:bCs w:val="0"/>
                <w:sz w:val="22"/>
                <w:szCs w:val="22"/>
              </w:rPr>
              <w:t>Obtain shareholder/unitholder approval to extend the closed-ended period for a further finite period:</w:t>
            </w:r>
          </w:p>
          <w:p w:rsidR="00707026" w:rsidRPr="008C6087" w:rsidRDefault="00707026" w:rsidP="00707026">
            <w:pPr>
              <w:pStyle w:val="BodyTextIndent"/>
              <w:ind w:left="-5"/>
              <w:rPr>
                <w:rFonts w:ascii="Lato" w:hAnsi="Lato"/>
                <w:b w:val="0"/>
                <w:bCs w:val="0"/>
                <w:sz w:val="22"/>
                <w:szCs w:val="22"/>
              </w:rPr>
            </w:pPr>
            <w:r w:rsidRPr="008C6087">
              <w:rPr>
                <w:rFonts w:ascii="Lato" w:hAnsi="Lato"/>
                <w:b w:val="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vMerge w:val="restart"/>
            <w:tcBorders>
              <w:top w:val="nil"/>
              <w:left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vMerge w:val="restart"/>
            <w:tcBorders>
              <w:top w:val="nil"/>
              <w:left w:val="single" w:sz="4" w:space="0" w:color="auto"/>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1"/>
          <w:wAfter w:w="52" w:type="dxa"/>
          <w:trHeight w:val="375"/>
        </w:trPr>
        <w:tc>
          <w:tcPr>
            <w:tcW w:w="1106" w:type="dxa"/>
            <w:vMerge/>
            <w:tcBorders>
              <w:top w:val="nil"/>
              <w:left w:val="nil"/>
              <w:right w:val="nil"/>
            </w:tcBorders>
          </w:tcPr>
          <w:p w:rsidR="00707026" w:rsidRPr="008C6087" w:rsidRDefault="00707026" w:rsidP="00707026">
            <w:pPr>
              <w:spacing w:line="240" w:lineRule="auto"/>
              <w:rPr>
                <w:rFonts w:ascii="Lato" w:hAnsi="Lato"/>
                <w:szCs w:val="22"/>
              </w:rPr>
            </w:pPr>
          </w:p>
        </w:tc>
        <w:tc>
          <w:tcPr>
            <w:tcW w:w="6972" w:type="dxa"/>
            <w:vMerge/>
            <w:tcBorders>
              <w:top w:val="nil"/>
              <w:left w:val="nil"/>
              <w:right w:val="nil"/>
            </w:tcBorders>
          </w:tcPr>
          <w:p w:rsidR="00707026" w:rsidRPr="008C6087" w:rsidRDefault="00707026" w:rsidP="00707026">
            <w:pPr>
              <w:pStyle w:val="BodyTextIndent"/>
              <w:ind w:left="-5"/>
              <w:rPr>
                <w:rFonts w:ascii="Lato" w:hAnsi="Lato"/>
                <w:b w:val="0"/>
                <w:bCs w:val="0"/>
                <w:sz w:val="22"/>
                <w:szCs w:val="22"/>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vMerge/>
            <w:tcBorders>
              <w:top w:val="nil"/>
              <w:left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vMerge/>
            <w:tcBorders>
              <w:top w:val="nil"/>
              <w:left w:val="nil"/>
              <w:right w:val="nil"/>
            </w:tcBorders>
          </w:tcPr>
          <w:p w:rsidR="00707026" w:rsidRPr="008C6087" w:rsidRDefault="00707026" w:rsidP="00707026">
            <w:pPr>
              <w:spacing w:line="240" w:lineRule="auto"/>
              <w:rPr>
                <w:rFonts w:ascii="Lato" w:hAnsi="Lato"/>
                <w:szCs w:val="22"/>
              </w:rPr>
            </w:pPr>
          </w:p>
        </w:tc>
        <w:tc>
          <w:tcPr>
            <w:tcW w:w="432" w:type="dxa"/>
            <w:gridSpan w:val="3"/>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551156">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Closed-Ended Retail Investor AIFs</w:t>
            </w: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i/>
                <w:szCs w:val="22"/>
              </w:rPr>
              <w:t>Changes to Duration</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No 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a closed-ended Retail Investor AIF with no opportunity for unitholders to redeem or otherwise exit the closed ended Retail Investor AIF, the Retail Investor AIF shall ensure that votes in favour of the change must represent at least 75%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single" w:sz="4" w:space="0" w:color="auto"/>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 xml:space="preserve">Realistic liquidity provisions: Where there is a proposed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Del="00C47AC2" w:rsidRDefault="00707026" w:rsidP="00707026">
            <w:pPr>
              <w:pStyle w:val="Caption"/>
              <w:ind w:left="-5"/>
              <w:rPr>
                <w:rFonts w:ascii="Lato" w:hAnsi="Lato"/>
                <w:b w:val="0"/>
                <w:bCs w:val="0"/>
                <w:szCs w:val="22"/>
              </w:rPr>
            </w:pPr>
            <w:r w:rsidRPr="008C6087">
              <w:rPr>
                <w:rFonts w:ascii="Lato" w:hAnsi="Lato"/>
                <w:b w:val="0"/>
                <w:szCs w:val="22"/>
              </w:rPr>
              <w:t>change to the duration of the Retail Investor AIF with an opportunity for unitholders to redeem or otherwise exit the closed ended Retail Investor AIF, the Retail Investor AIF shall ensure that votes in favour of the change must represent at least 50% of votes cast.</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Del="00C47AC2"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Del="00C47AC2"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2.22</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Open-ended Retail Investor AIF s with limited liquidity</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2.22.1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Provide for</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a)</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redemption at least monthly</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b)</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Retail Investor AIF</w:t>
            </w:r>
            <w:r w:rsidRPr="008C6087" w:rsidDel="007156D4">
              <w:rPr>
                <w:rFonts w:ascii="Lato" w:hAnsi="Lato"/>
                <w:b w:val="0"/>
                <w:bCs w:val="0"/>
                <w:szCs w:val="22"/>
              </w:rPr>
              <w:t xml:space="preserve"> </w:t>
            </w:r>
            <w:r w:rsidRPr="008C6087">
              <w:rPr>
                <w:rFonts w:ascii="Lato" w:hAnsi="Lato"/>
                <w:b w:val="0"/>
                <w:bCs w:val="0"/>
                <w:szCs w:val="22"/>
              </w:rPr>
              <w:t xml:space="preserve">s which are not closed-ended Retail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bCs w:val="0"/>
                <w:szCs w:val="22"/>
              </w:rPr>
              <w:t>Investor AIF</w:t>
            </w:r>
            <w:r w:rsidRPr="008C6087" w:rsidDel="007156D4">
              <w:rPr>
                <w:rFonts w:ascii="Lato" w:hAnsi="Lato"/>
                <w:b w:val="0"/>
                <w:bCs w:val="0"/>
                <w:szCs w:val="22"/>
              </w:rPr>
              <w:t xml:space="preserve"> </w:t>
            </w:r>
            <w:r w:rsidRPr="008C6087">
              <w:rPr>
                <w:rFonts w:ascii="Lato" w:hAnsi="Lato"/>
                <w:b w:val="0"/>
                <w:bCs w:val="0"/>
                <w:szCs w:val="22"/>
              </w:rPr>
              <w:t>s but which do not</w:t>
            </w:r>
            <w:r w:rsidRPr="008C6087">
              <w:rPr>
                <w:rFonts w:ascii="Lato" w:hAnsi="Lato"/>
                <w:b w:val="0"/>
                <w:szCs w:val="22"/>
              </w:rPr>
              <w:t xml:space="preserve"> provide redemption facilities monthly, must be classified as open-ended Retail Investor AIF</w:t>
            </w:r>
            <w:r w:rsidRPr="008C6087" w:rsidDel="007156D4">
              <w:rPr>
                <w:rFonts w:ascii="Lato" w:hAnsi="Lato"/>
                <w:b w:val="0"/>
                <w:szCs w:val="22"/>
              </w:rPr>
              <w:t xml:space="preserve"> </w:t>
            </w:r>
            <w:r w:rsidRPr="008C6087">
              <w:rPr>
                <w:rFonts w:ascii="Lato" w:hAnsi="Lato"/>
                <w:b w:val="0"/>
                <w:szCs w:val="22"/>
              </w:rPr>
              <w:t xml:space="preserve">s with limited liquidity. </w:t>
            </w: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single" w:sz="4" w:space="0" w:color="auto"/>
              <w:right w:val="nil"/>
            </w:tcBorders>
          </w:tcPr>
          <w:p w:rsidR="00707026" w:rsidRPr="008C6087" w:rsidRDefault="00707026" w:rsidP="00707026">
            <w:pPr>
              <w:pStyle w:val="Caption"/>
              <w:ind w:left="-5"/>
              <w:rPr>
                <w:rFonts w:ascii="Lato" w:hAnsi="Lato"/>
                <w:b w:val="0"/>
                <w:bCs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C14214">
        <w:trPr>
          <w:gridAfter w:val="3"/>
          <w:wAfter w:w="73" w:type="dxa"/>
        </w:trPr>
        <w:tc>
          <w:tcPr>
            <w:tcW w:w="110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r w:rsidRPr="008C6087">
              <w:rPr>
                <w:rFonts w:ascii="Lato" w:hAnsi="Lato"/>
                <w:szCs w:val="22"/>
              </w:rPr>
              <w:t>2.23</w:t>
            </w:r>
          </w:p>
        </w:tc>
        <w:tc>
          <w:tcPr>
            <w:tcW w:w="697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Prime broker</w:t>
            </w:r>
          </w:p>
        </w:tc>
        <w:tc>
          <w:tcPr>
            <w:tcW w:w="99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r w:rsidRPr="008C6087">
              <w:rPr>
                <w:rFonts w:ascii="Lato" w:hAnsi="Lato"/>
                <w:szCs w:val="22"/>
              </w:rPr>
              <w:t>2.23.1</w:t>
            </w:r>
          </w:p>
        </w:tc>
        <w:tc>
          <w:tcPr>
            <w:tcW w:w="6972" w:type="dxa"/>
            <w:tcBorders>
              <w:top w:val="single" w:sz="4" w:space="0" w:color="auto"/>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Disclose:</w:t>
            </w:r>
          </w:p>
        </w:tc>
        <w:tc>
          <w:tcPr>
            <w:tcW w:w="99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identity of the prime broker;</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 description of any material arrangements of the Retail Investor AIF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with its prime brokers;</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(iii)</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The way the conflicts of interest are managed;</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(iv)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Any provision in the contract with the depositary on the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possibility of transfer and reuse of AIF assets; and</w:t>
            </w:r>
          </w:p>
        </w:tc>
        <w:tc>
          <w:tcPr>
            <w:tcW w:w="99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single" w:sz="4" w:space="0" w:color="auto"/>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8C6087">
        <w:trPr>
          <w:gridAfter w:val="3"/>
          <w:wAfter w:w="73" w:type="dxa"/>
        </w:trPr>
        <w:tc>
          <w:tcPr>
            <w:tcW w:w="1106" w:type="dxa"/>
            <w:tcBorders>
              <w:top w:val="nil"/>
              <w:left w:val="nil"/>
              <w:bottom w:val="nil"/>
              <w:right w:val="nil"/>
            </w:tcBorders>
          </w:tcPr>
          <w:p w:rsidR="00707026" w:rsidRPr="008C6087" w:rsidRDefault="00707026" w:rsidP="00707026">
            <w:pPr>
              <w:spacing w:line="240" w:lineRule="auto"/>
              <w:jc w:val="right"/>
              <w:rPr>
                <w:rFonts w:ascii="Lato" w:hAnsi="Lato"/>
                <w:szCs w:val="22"/>
              </w:rPr>
            </w:pPr>
            <w:r w:rsidRPr="008C6087">
              <w:rPr>
                <w:rFonts w:ascii="Lato" w:hAnsi="Lato"/>
                <w:szCs w:val="22"/>
              </w:rPr>
              <w:t>(v)</w:t>
            </w:r>
          </w:p>
        </w:tc>
        <w:tc>
          <w:tcPr>
            <w:tcW w:w="6972" w:type="dxa"/>
            <w:tcBorders>
              <w:top w:val="nil"/>
              <w:left w:val="nil"/>
              <w:bottom w:val="nil"/>
              <w:right w:val="single" w:sz="4" w:space="0" w:color="auto"/>
            </w:tcBorders>
          </w:tcPr>
          <w:p w:rsidR="00707026" w:rsidRPr="008C6087" w:rsidRDefault="00707026" w:rsidP="00707026">
            <w:pPr>
              <w:pStyle w:val="Caption"/>
              <w:ind w:left="-5"/>
              <w:rPr>
                <w:rFonts w:ascii="Lato" w:hAnsi="Lato"/>
                <w:b w:val="0"/>
                <w:bCs w:val="0"/>
                <w:szCs w:val="22"/>
              </w:rPr>
            </w:pPr>
            <w:r w:rsidRPr="008C6087">
              <w:rPr>
                <w:rFonts w:ascii="Lato" w:hAnsi="Lato"/>
                <w:b w:val="0"/>
                <w:szCs w:val="22"/>
              </w:rPr>
              <w:t xml:space="preserve">Information about any transfer of liability to the prime broker </w:t>
            </w:r>
          </w:p>
        </w:tc>
        <w:tc>
          <w:tcPr>
            <w:tcW w:w="99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3"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84" w:type="dxa"/>
            <w:tcBorders>
              <w:top w:val="nil"/>
              <w:left w:val="single" w:sz="4" w:space="0" w:color="auto"/>
              <w:bottom w:val="nil"/>
              <w:right w:val="single" w:sz="4" w:space="0" w:color="auto"/>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single" w:sz="4" w:space="0" w:color="auto"/>
              <w:bottom w:val="single" w:sz="4" w:space="0" w:color="auto"/>
              <w:right w:val="single" w:sz="4" w:space="0" w:color="auto"/>
            </w:tcBorders>
          </w:tcPr>
          <w:p w:rsidR="00707026" w:rsidRPr="008C6087" w:rsidRDefault="00707026" w:rsidP="00707026">
            <w:pPr>
              <w:spacing w:line="240" w:lineRule="auto"/>
              <w:rPr>
                <w:rFonts w:ascii="Lato" w:hAnsi="Lato"/>
                <w:szCs w:val="22"/>
              </w:rPr>
            </w:pPr>
          </w:p>
        </w:tc>
        <w:tc>
          <w:tcPr>
            <w:tcW w:w="252" w:type="dxa"/>
            <w:tcBorders>
              <w:top w:val="nil"/>
              <w:left w:val="single" w:sz="4" w:space="0" w:color="auto"/>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Default="00707026" w:rsidP="00707026">
            <w:pPr>
              <w:pStyle w:val="Caption"/>
              <w:ind w:left="-5"/>
              <w:rPr>
                <w:rFonts w:ascii="Lato" w:hAnsi="Lato"/>
                <w:b w:val="0"/>
                <w:bCs w:val="0"/>
                <w:szCs w:val="22"/>
              </w:rPr>
            </w:pPr>
            <w:r w:rsidRPr="008C6087">
              <w:rPr>
                <w:rFonts w:ascii="Lato" w:hAnsi="Lato"/>
                <w:b w:val="0"/>
                <w:szCs w:val="22"/>
              </w:rPr>
              <w:t>that may exist</w:t>
            </w:r>
          </w:p>
          <w:p w:rsidR="00707026" w:rsidRPr="001C0125" w:rsidRDefault="00707026" w:rsidP="00707026">
            <w:pPr>
              <w:rPr>
                <w:lang w:val="en-IE"/>
              </w:rPr>
            </w:pPr>
          </w:p>
        </w:tc>
        <w:tc>
          <w:tcPr>
            <w:tcW w:w="99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single" w:sz="4" w:space="0" w:color="auto"/>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r w:rsidR="00707026" w:rsidRPr="008C6087" w:rsidTr="001C0125">
        <w:trPr>
          <w:gridAfter w:val="3"/>
          <w:wAfter w:w="73" w:type="dxa"/>
        </w:trPr>
        <w:tc>
          <w:tcPr>
            <w:tcW w:w="11468" w:type="dxa"/>
            <w:gridSpan w:val="9"/>
            <w:tcBorders>
              <w:top w:val="nil"/>
              <w:left w:val="nil"/>
              <w:bottom w:val="nil"/>
              <w:right w:val="nil"/>
            </w:tcBorders>
          </w:tcPr>
          <w:p w:rsidR="00707026" w:rsidRPr="008C6087" w:rsidRDefault="00707026" w:rsidP="00707026">
            <w:pPr>
              <w:spacing w:line="276" w:lineRule="auto"/>
              <w:jc w:val="both"/>
              <w:rPr>
                <w:rFonts w:ascii="Lato" w:hAnsi="Lato"/>
                <w:szCs w:val="22"/>
              </w:rPr>
            </w:pPr>
            <w:r>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8" w:history="1">
              <w:r>
                <w:rPr>
                  <w:rStyle w:val="Hyperlink"/>
                  <w:rFonts w:ascii="Lato" w:hAnsi="Lato"/>
                  <w:sz w:val="20"/>
                  <w:lang w:val="en-US"/>
                </w:rPr>
                <w:t>dataprotection@centralbank.ie</w:t>
              </w:r>
            </w:hyperlink>
            <w:r>
              <w:rPr>
                <w:rFonts w:ascii="Lato" w:hAnsi="Lato"/>
                <w:sz w:val="20"/>
                <w:lang w:val="en-US"/>
              </w:rPr>
              <w:t xml:space="preserve">. A copy of the Central Bank’s Data Protection Notice is available at </w:t>
            </w:r>
            <w:hyperlink r:id="rId19" w:history="1">
              <w:r>
                <w:rPr>
                  <w:rStyle w:val="Hyperlink"/>
                  <w:rFonts w:ascii="Lato" w:hAnsi="Lato"/>
                  <w:sz w:val="20"/>
                  <w:lang w:val="en-US"/>
                </w:rPr>
                <w:t>www.centralbank.ie/fns/privacy-statement</w:t>
              </w:r>
            </w:hyperlink>
            <w:r>
              <w:rPr>
                <w:rFonts w:ascii="Lato" w:hAnsi="Lato"/>
                <w:sz w:val="20"/>
                <w:lang w:val="en-US"/>
              </w:rPr>
              <w:t>.</w:t>
            </w:r>
          </w:p>
        </w:tc>
      </w:tr>
      <w:tr w:rsidR="00707026" w:rsidRPr="008C6087" w:rsidTr="001C0125">
        <w:trPr>
          <w:gridAfter w:val="3"/>
          <w:wAfter w:w="73" w:type="dxa"/>
        </w:trPr>
        <w:tc>
          <w:tcPr>
            <w:tcW w:w="110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6972" w:type="dxa"/>
            <w:tcBorders>
              <w:top w:val="nil"/>
              <w:left w:val="nil"/>
              <w:bottom w:val="nil"/>
              <w:right w:val="nil"/>
            </w:tcBorders>
          </w:tcPr>
          <w:p w:rsidR="00707026" w:rsidRPr="008C6087" w:rsidRDefault="00707026" w:rsidP="00707026">
            <w:pPr>
              <w:pStyle w:val="Caption"/>
              <w:ind w:left="-5"/>
              <w:rPr>
                <w:rFonts w:ascii="Lato" w:hAnsi="Lato"/>
                <w:b w:val="0"/>
                <w:szCs w:val="22"/>
              </w:rPr>
            </w:pPr>
          </w:p>
        </w:tc>
        <w:tc>
          <w:tcPr>
            <w:tcW w:w="99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3"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71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84"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56"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252" w:type="dxa"/>
            <w:tcBorders>
              <w:top w:val="nil"/>
              <w:left w:val="nil"/>
              <w:bottom w:val="nil"/>
              <w:right w:val="nil"/>
            </w:tcBorders>
          </w:tcPr>
          <w:p w:rsidR="00707026" w:rsidRPr="008C6087" w:rsidRDefault="00707026" w:rsidP="00707026">
            <w:pPr>
              <w:spacing w:line="240" w:lineRule="auto"/>
              <w:rPr>
                <w:rFonts w:ascii="Lato" w:hAnsi="Lato"/>
                <w:szCs w:val="22"/>
              </w:rPr>
            </w:pPr>
          </w:p>
        </w:tc>
        <w:tc>
          <w:tcPr>
            <w:tcW w:w="411" w:type="dxa"/>
            <w:tcBorders>
              <w:top w:val="nil"/>
              <w:left w:val="nil"/>
              <w:bottom w:val="nil"/>
              <w:right w:val="nil"/>
            </w:tcBorders>
          </w:tcPr>
          <w:p w:rsidR="00707026" w:rsidRPr="008C6087" w:rsidRDefault="00707026" w:rsidP="00707026">
            <w:pPr>
              <w:spacing w:line="240" w:lineRule="auto"/>
              <w:rPr>
                <w:rFonts w:ascii="Lato" w:hAnsi="Lato"/>
                <w:szCs w:val="22"/>
              </w:rPr>
            </w:pPr>
          </w:p>
        </w:tc>
      </w:tr>
    </w:tbl>
    <w:p w:rsidR="00877692" w:rsidRPr="008C6087" w:rsidRDefault="00877692">
      <w:pPr>
        <w:spacing w:line="240" w:lineRule="auto"/>
        <w:rPr>
          <w:rFonts w:ascii="Lato" w:hAnsi="Lato"/>
          <w:szCs w:val="22"/>
        </w:rPr>
        <w:sectPr w:rsidR="00877692" w:rsidRPr="008C6087">
          <w:pgSz w:w="11904" w:h="16834"/>
          <w:pgMar w:top="851" w:right="1800" w:bottom="1440" w:left="1800" w:header="142" w:footer="266" w:gutter="0"/>
          <w:pgNumType w:start="1"/>
          <w:cols w:space="708"/>
          <w:titlePg/>
        </w:sectPr>
      </w:pPr>
    </w:p>
    <w:p w:rsidR="00F36940" w:rsidRPr="008C6087" w:rsidRDefault="00F36940" w:rsidP="00F36940">
      <w:pPr>
        <w:pStyle w:val="Noparagraphstyle"/>
        <w:suppressAutoHyphens/>
        <w:spacing w:after="227"/>
        <w:jc w:val="center"/>
        <w:rPr>
          <w:rFonts w:ascii="Lato" w:hAnsi="Lato" w:cs="HelveticaNeueLTStd-Lt"/>
          <w:color w:val="FFFFFF"/>
          <w:sz w:val="22"/>
          <w:szCs w:val="22"/>
        </w:rPr>
      </w:pPr>
      <w:r w:rsidRPr="008C6087">
        <w:rPr>
          <w:rStyle w:val="HelvBold"/>
          <w:rFonts w:ascii="Lato" w:hAnsi="Lato" w:cs="HelveticaNeueLTStd-Bd"/>
          <w:bCs/>
          <w:color w:val="FFFFFF"/>
          <w:sz w:val="22"/>
          <w:szCs w:val="22"/>
        </w:rPr>
        <w:t xml:space="preserve">T </w:t>
      </w:r>
      <w:r w:rsidRPr="008C6087">
        <w:rPr>
          <w:rFonts w:ascii="Lato" w:hAnsi="Lato" w:cs="HelveticaNeueLTStd-Lt"/>
          <w:color w:val="FFFFFF"/>
          <w:sz w:val="22"/>
          <w:szCs w:val="22"/>
        </w:rPr>
        <w:t xml:space="preserve">+353 1 224 </w:t>
      </w:r>
      <w:r w:rsidR="00BD16AE" w:rsidRPr="008C6087">
        <w:rPr>
          <w:rFonts w:ascii="Lato" w:hAnsi="Lato" w:cs="HelveticaNeueLTStd-Lt"/>
          <w:color w:val="FFFFFF"/>
          <w:sz w:val="22"/>
          <w:szCs w:val="22"/>
        </w:rPr>
        <w:t>6</w:t>
      </w:r>
      <w:r w:rsidRPr="008C6087">
        <w:rPr>
          <w:rFonts w:ascii="Lato" w:hAnsi="Lato" w:cs="HelveticaNeueLTStd-Lt"/>
          <w:color w:val="FFFFFF"/>
          <w:sz w:val="22"/>
          <w:szCs w:val="22"/>
        </w:rPr>
        <w:t xml:space="preserve">000      </w:t>
      </w:r>
      <w:r w:rsidRPr="008C6087">
        <w:rPr>
          <w:rFonts w:ascii="Lato" w:hAnsi="Lato" w:cs="HelveticaNeueLTStd-Lt"/>
          <w:color w:val="FFFFFF"/>
          <w:sz w:val="22"/>
          <w:szCs w:val="22"/>
          <w:u w:val="single"/>
        </w:rPr>
        <w:t>www.centralbank.ie</w:t>
      </w:r>
      <w:r w:rsidRPr="008C6087">
        <w:rPr>
          <w:rFonts w:ascii="Lato" w:hAnsi="Lato" w:cs="HelveticaNeueLTStd-Lt"/>
          <w:color w:val="FFFFFF"/>
          <w:sz w:val="22"/>
          <w:szCs w:val="22"/>
        </w:rPr>
        <w:t xml:space="preserve">     </w:t>
      </w:r>
      <w:r w:rsidR="00C14214" w:rsidRPr="008C6087">
        <w:rPr>
          <w:rFonts w:ascii="Lato" w:hAnsi="Lato" w:cs="HelveticaNeueLTStd-Lt"/>
          <w:color w:val="FFFFFF"/>
          <w:sz w:val="22"/>
          <w:szCs w:val="22"/>
        </w:rPr>
        <w:t>AIFauthorisations</w:t>
      </w:r>
      <w:r w:rsidR="00BD16AE" w:rsidRPr="008C6087">
        <w:rPr>
          <w:rFonts w:ascii="Lato" w:hAnsi="Lato" w:cs="HelveticaNeueLTStd-Lt"/>
          <w:color w:val="FFFFFF"/>
          <w:sz w:val="22"/>
          <w:szCs w:val="22"/>
        </w:rPr>
        <w:t>@centralbank.ie</w:t>
      </w:r>
      <w:r w:rsidRPr="008C6087">
        <w:rPr>
          <w:rFonts w:ascii="Lato" w:hAnsi="Lato" w:cs="HelveticaNeueLTStd-Lt"/>
          <w:color w:val="FFFFFF"/>
          <w:sz w:val="22"/>
          <w:szCs w:val="22"/>
        </w:rPr>
        <w:t xml:space="preserve"> </w:t>
      </w:r>
    </w:p>
    <w:p w:rsidR="00877692" w:rsidRPr="008C6087" w:rsidRDefault="00405CAD">
      <w:pPr>
        <w:spacing w:line="240" w:lineRule="auto"/>
        <w:rPr>
          <w:rFonts w:ascii="Lato" w:hAnsi="Lato"/>
          <w:szCs w:val="22"/>
        </w:rPr>
      </w:pPr>
      <w:r>
        <w:rPr>
          <w:rFonts w:ascii="Lato" w:hAnsi="Lato"/>
          <w:noProof/>
          <w:szCs w:val="22"/>
          <w:lang w:val="en-IE" w:eastAsia="en-IE"/>
        </w:rPr>
        <w:drawing>
          <wp:anchor distT="0" distB="0" distL="114300" distR="114300" simplePos="0" relativeHeight="251658752" behindDoc="1" locked="0" layoutInCell="1" allowOverlap="1">
            <wp:simplePos x="0" y="0"/>
            <wp:positionH relativeFrom="column">
              <wp:posOffset>-1133475</wp:posOffset>
            </wp:positionH>
            <wp:positionV relativeFrom="paragraph">
              <wp:posOffset>-1692910</wp:posOffset>
            </wp:positionV>
            <wp:extent cx="7562215" cy="1115822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215" cy="11158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087">
        <w:rPr>
          <w:rFonts w:ascii="Lato" w:hAnsi="Lato"/>
          <w:noProof/>
          <w:szCs w:val="22"/>
          <w:lang w:val="en-IE" w:eastAsia="en-IE"/>
        </w:rPr>
        <mc:AlternateContent>
          <mc:Choice Requires="wps">
            <w:drawing>
              <wp:anchor distT="0" distB="0" distL="114300" distR="114300" simplePos="0" relativeHeight="251657728" behindDoc="0" locked="0" layoutInCell="1" allowOverlap="1">
                <wp:simplePos x="0" y="0"/>
                <wp:positionH relativeFrom="column">
                  <wp:posOffset>1765935</wp:posOffset>
                </wp:positionH>
                <wp:positionV relativeFrom="paragraph">
                  <wp:posOffset>7233285</wp:posOffset>
                </wp:positionV>
                <wp:extent cx="3771900" cy="3293745"/>
                <wp:effectExtent l="381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29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EE" w:rsidRDefault="00906DEE" w:rsidP="00CE517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9.05pt;margin-top:569.55pt;width:297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" filled="f" stroked="f">
                <v:textbox>
                  <w:txbxContent>
                    <w:p w:rsidR="00906DEE" w:rsidRDefault="00906DEE" w:rsidP="00CE5178">
                      <w:pPr>
                        <w:rPr>
                          <w:sz w:val="20"/>
                        </w:rPr>
                      </w:pPr>
                    </w:p>
                  </w:txbxContent>
                </v:textbox>
              </v:shape>
            </w:pict>
          </mc:Fallback>
        </mc:AlternateContent>
      </w:r>
      <w:r w:rsidRPr="008C6087">
        <w:rPr>
          <w:rFonts w:ascii="Lato" w:hAnsi="Lato"/>
          <w:noProof/>
          <w:szCs w:val="22"/>
          <w:lang w:val="en-IE" w:eastAsia="en-IE"/>
        </w:rPr>
        <mc:AlternateContent>
          <mc:Choice Requires="wps">
            <w:drawing>
              <wp:anchor distT="0" distB="0" distL="114300" distR="114300" simplePos="0" relativeHeight="251656704" behindDoc="0" locked="0" layoutInCell="1" allowOverlap="1">
                <wp:simplePos x="0" y="0"/>
                <wp:positionH relativeFrom="column">
                  <wp:posOffset>-520065</wp:posOffset>
                </wp:positionH>
                <wp:positionV relativeFrom="paragraph">
                  <wp:posOffset>5717540</wp:posOffset>
                </wp:positionV>
                <wp:extent cx="2400300" cy="914400"/>
                <wp:effectExtent l="3810" t="0" r="0" b="444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EE" w:rsidRDefault="00906D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95pt;margin-top:450.2pt;width:189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7rt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" filled="f" stroked="f">
                <v:textbox>
                  <w:txbxContent>
                    <w:p w:rsidR="00906DEE" w:rsidRDefault="00906DEE"/>
                  </w:txbxContent>
                </v:textbox>
              </v:shape>
            </w:pict>
          </mc:Fallback>
        </mc:AlternateContent>
      </w:r>
    </w:p>
    <w:sectPr w:rsidR="00877692" w:rsidRPr="008C6087" w:rsidSect="00850F39">
      <w:headerReference w:type="default" r:id="rId21"/>
      <w:footerReference w:type="default" r:id="rId22"/>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1D1" w:rsidRDefault="00BA31D1">
      <w:pPr>
        <w:spacing w:line="240" w:lineRule="auto"/>
      </w:pPr>
      <w:r>
        <w:separator/>
      </w:r>
    </w:p>
  </w:endnote>
  <w:endnote w:type="continuationSeparator" w:id="0">
    <w:p w:rsidR="00BA31D1" w:rsidRDefault="00BA3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906D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6DEE" w:rsidRDefault="0090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86" w:rsidRDefault="00EE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906DEE">
    <w:pPr>
      <w:pStyle w:val="Footer"/>
      <w:tabs>
        <w:tab w:val="clear" w:pos="4320"/>
        <w:tab w:val="clear" w:pos="8640"/>
        <w:tab w:val="left" w:pos="1560"/>
        <w:tab w:val="center" w:pos="415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906DEE">
    <w:pPr>
      <w:pStyle w:val="Footer"/>
      <w:tabs>
        <w:tab w:val="clear" w:pos="8640"/>
        <w:tab w:val="center" w:pos="4152"/>
        <w:tab w:val="left" w:pos="51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906DEE">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1D1" w:rsidRDefault="00BA31D1">
      <w:pPr>
        <w:spacing w:line="240" w:lineRule="auto"/>
      </w:pPr>
      <w:r>
        <w:separator/>
      </w:r>
    </w:p>
  </w:footnote>
  <w:footnote w:type="continuationSeparator" w:id="0">
    <w:p w:rsidR="00BA31D1" w:rsidRDefault="00BA31D1">
      <w:pPr>
        <w:spacing w:line="240" w:lineRule="auto"/>
      </w:pPr>
      <w:r>
        <w:continuationSeparator/>
      </w:r>
    </w:p>
  </w:footnote>
  <w:footnote w:id="1">
    <w:p w:rsidR="006B3EE9" w:rsidRPr="00464DF3" w:rsidRDefault="006B3EE9" w:rsidP="00464DF3">
      <w:pPr>
        <w:pStyle w:val="FootnoteText"/>
        <w:spacing w:line="240" w:lineRule="auto"/>
        <w:rPr>
          <w:rFonts w:ascii="Times New Roman" w:hAnsi="Times New Roman"/>
          <w:sz w:val="18"/>
          <w:szCs w:val="18"/>
          <w:lang w:val="en-IE"/>
        </w:rPr>
      </w:pPr>
      <w:r>
        <w:rPr>
          <w:rStyle w:val="FootnoteReference"/>
        </w:rPr>
        <w:t>2</w:t>
      </w:r>
      <w:r>
        <w:t xml:space="preserve"> </w:t>
      </w:r>
      <w:r w:rsidRPr="00464DF3">
        <w:rPr>
          <w:rFonts w:ascii="Times New Roman" w:hAnsi="Times New Roman"/>
          <w:sz w:val="18"/>
          <w:szCs w:val="18"/>
        </w:rPr>
        <w:t>If the fee disclosed in the prospectus is less than the maximum fee permitted in these documents, unitholder approval will also be required for an increase in the fee disclosed in the prospectus unless the prospectus also provides that a higher fee may be charged.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Pr="00551156" w:rsidRDefault="00EE5D86" w:rsidP="00EE5D86">
    <w:pPr>
      <w:pStyle w:val="Header"/>
    </w:pPr>
    <w:fldSimple w:instr=" DOCPROPERTY bjHeaderEvenPageDocProperty \* MERGEFORMAT " w:fldLock="1">
      <w:r w:rsidRPr="00EE5D86">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Pr="00551156" w:rsidRDefault="00EE5D86" w:rsidP="00EE5D86">
    <w:pPr>
      <w:pStyle w:val="Header"/>
    </w:pPr>
    <w:fldSimple w:instr=" DOCPROPERTY bjHeaderBothDocProperty \* MERGEFORMAT " w:fldLock="1">
      <w:r w:rsidRPr="00EE5D86">
        <w:rPr>
          <w:rFonts w:ascii="Times New Roman" w:hAnsi="Times New Roman"/>
          <w:color w:val="000000"/>
          <w:sz w:val="24"/>
        </w:rPr>
        <w:t xml:space="preserve"> </w:t>
      </w:r>
    </w:fldSimple>
    <w:r w:rsidR="00405CAD">
      <w:rPr>
        <w:noProof/>
        <w:lang w:val="en-IE" w:eastAsia="en-IE"/>
      </w:rPr>
      <w:drawing>
        <wp:anchor distT="0" distB="0" distL="114300" distR="114300" simplePos="0" relativeHeight="251657728" behindDoc="1" locked="0" layoutInCell="1" allowOverlap="1">
          <wp:simplePos x="0" y="0"/>
          <wp:positionH relativeFrom="column">
            <wp:posOffset>-1152525</wp:posOffset>
          </wp:positionH>
          <wp:positionV relativeFrom="paragraph">
            <wp:posOffset>-449580</wp:posOffset>
          </wp:positionV>
          <wp:extent cx="7576185" cy="1071562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618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EE5D86" w:rsidP="00EE5D8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bjHeaderFirstPageDocProperty \* MERGEFORMAT </w:instrText>
    </w:r>
    <w:r>
      <w:rPr>
        <w:rFonts w:ascii="Helvetica" w:hAnsi="Helvetica"/>
        <w:b/>
        <w:color w:val="FFFFFF"/>
        <w:sz w:val="17"/>
      </w:rPr>
      <w:fldChar w:fldCharType="separate"/>
    </w:r>
    <w:r w:rsidRPr="00EE5D86">
      <w:rPr>
        <w:rFonts w:ascii="Times New Roman" w:hAnsi="Times New Roman"/>
        <w:color w:val="000000"/>
        <w:sz w:val="24"/>
      </w:rPr>
      <w:t xml:space="preserve"> </w:t>
    </w:r>
    <w:r>
      <w:rPr>
        <w:rFonts w:ascii="Helvetica" w:hAnsi="Helvetica"/>
        <w:b/>
        <w:color w:val="FFFFFF"/>
        <w:sz w:val="17"/>
      </w:rPr>
      <w:fldChar w:fldCharType="end"/>
    </w:r>
  </w:p>
  <w:tbl>
    <w:tblPr>
      <w:tblW w:w="9803" w:type="dxa"/>
      <w:tblLayout w:type="fixed"/>
      <w:tblLook w:val="04A0" w:firstRow="1" w:lastRow="0" w:firstColumn="1" w:lastColumn="0" w:noHBand="0" w:noVBand="1"/>
    </w:tblPr>
    <w:tblGrid>
      <w:gridCol w:w="2235"/>
      <w:gridCol w:w="5806"/>
      <w:gridCol w:w="1762"/>
    </w:tblGrid>
    <w:tr w:rsidR="00906DEE" w:rsidRPr="00E4379D" w:rsidTr="00276C23">
      <w:tc>
        <w:tcPr>
          <w:tcW w:w="2235" w:type="dxa"/>
          <w:tcBorders>
            <w:right w:val="single" w:sz="4" w:space="0" w:color="5B9BD5"/>
          </w:tcBorders>
          <w:shd w:val="clear" w:color="auto" w:fill="auto"/>
        </w:tcPr>
        <w:p w:rsidR="00906DEE" w:rsidRPr="00E4379D" w:rsidRDefault="00906DEE"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906DEE" w:rsidRPr="00E4379D" w:rsidRDefault="00906DEE" w:rsidP="00D66B95">
          <w:pPr>
            <w:pStyle w:val="Header"/>
            <w:rPr>
              <w:rFonts w:ascii="Lato" w:eastAsia="Lato" w:hAnsi="Lato"/>
              <w:sz w:val="14"/>
              <w:szCs w:val="14"/>
            </w:rPr>
          </w:pPr>
          <w:r w:rsidRPr="00305BE2">
            <w:rPr>
              <w:rFonts w:ascii="Lato" w:eastAsia="Lato" w:hAnsi="Lato"/>
              <w:sz w:val="14"/>
              <w:szCs w:val="14"/>
            </w:rPr>
            <w:t>Retail Investor AIF Application Form Section 2 ORION</w:t>
          </w:r>
          <w:r>
            <w:rPr>
              <w:rFonts w:ascii="Lato" w:eastAsia="Lato" w:hAnsi="Lato"/>
              <w:sz w:val="14"/>
              <w:szCs w:val="14"/>
            </w:rPr>
            <w:t xml:space="preserve"> </w:t>
          </w:r>
          <w:r w:rsidR="00D66B95">
            <w:rPr>
              <w:rFonts w:ascii="Lato" w:eastAsia="Lato" w:hAnsi="Lato"/>
              <w:sz w:val="14"/>
              <w:szCs w:val="14"/>
            </w:rPr>
            <w:t xml:space="preserve">February </w:t>
          </w:r>
          <w:r w:rsidR="00672F4B">
            <w:rPr>
              <w:rFonts w:ascii="Lato" w:eastAsia="Lato" w:hAnsi="Lato"/>
              <w:sz w:val="14"/>
              <w:szCs w:val="14"/>
            </w:rPr>
            <w:t>2021</w:t>
          </w:r>
        </w:p>
      </w:tc>
      <w:tc>
        <w:tcPr>
          <w:tcW w:w="1762" w:type="dxa"/>
          <w:tcBorders>
            <w:left w:val="single" w:sz="4" w:space="0" w:color="5B9BD5"/>
          </w:tcBorders>
          <w:shd w:val="clear" w:color="auto" w:fill="auto"/>
        </w:tcPr>
        <w:p w:rsidR="00906DEE" w:rsidRPr="00E4379D" w:rsidRDefault="00906DEE"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EE5D86">
            <w:rPr>
              <w:rFonts w:ascii="Lato" w:eastAsia="Lato" w:hAnsi="Lato"/>
              <w:noProof/>
              <w:sz w:val="14"/>
              <w:szCs w:val="14"/>
            </w:rPr>
            <w:t>2</w:t>
          </w:r>
          <w:r w:rsidRPr="00E4379D">
            <w:rPr>
              <w:rFonts w:ascii="Lato" w:eastAsia="Lato" w:hAnsi="Lato"/>
              <w:noProof/>
              <w:sz w:val="14"/>
              <w:szCs w:val="14"/>
            </w:rPr>
            <w:fldChar w:fldCharType="end"/>
          </w:r>
        </w:p>
      </w:tc>
    </w:tr>
  </w:tbl>
  <w:p w:rsidR="00906DEE" w:rsidRPr="00BA75BC" w:rsidRDefault="00906DEE" w:rsidP="008C6087">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Default="00EE5D86" w:rsidP="00EE5D86">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r>
      <w:rPr>
        <w:rFonts w:ascii="Helvetica" w:hAnsi="Helvetica"/>
        <w:b/>
        <w:color w:val="FFFFFF"/>
        <w:sz w:val="17"/>
      </w:rPr>
      <w:fldChar w:fldCharType="begin" w:fldLock="1"/>
    </w:r>
    <w:r>
      <w:rPr>
        <w:rFonts w:ascii="Helvetica" w:hAnsi="Helvetica"/>
        <w:b/>
        <w:color w:val="FFFFFF"/>
        <w:sz w:val="17"/>
      </w:rPr>
      <w:instrText xml:space="preserve"> DOCPROPERTY bjHeaderBothDocProperty \* MERGEFORMAT </w:instrText>
    </w:r>
    <w:r>
      <w:rPr>
        <w:rFonts w:ascii="Helvetica" w:hAnsi="Helvetica"/>
        <w:b/>
        <w:color w:val="FFFFFF"/>
        <w:sz w:val="17"/>
      </w:rPr>
      <w:fldChar w:fldCharType="separate"/>
    </w:r>
    <w:r w:rsidRPr="00EE5D86">
      <w:rPr>
        <w:rFonts w:ascii="Times New Roman" w:hAnsi="Times New Roman"/>
        <w:color w:val="000000"/>
        <w:sz w:val="24"/>
      </w:rPr>
      <w:t xml:space="preserve"> </w:t>
    </w:r>
    <w:r>
      <w:rPr>
        <w:rFonts w:ascii="Helvetica" w:hAnsi="Helvetica"/>
        <w:b/>
        <w:color w:val="FFFFFF"/>
        <w:sz w:val="17"/>
      </w:rPr>
      <w:fldChar w:fldCharType="end"/>
    </w:r>
  </w:p>
  <w:tbl>
    <w:tblPr>
      <w:tblW w:w="9803" w:type="dxa"/>
      <w:tblLayout w:type="fixed"/>
      <w:tblLook w:val="04A0" w:firstRow="1" w:lastRow="0" w:firstColumn="1" w:lastColumn="0" w:noHBand="0" w:noVBand="1"/>
    </w:tblPr>
    <w:tblGrid>
      <w:gridCol w:w="2235"/>
      <w:gridCol w:w="5806"/>
      <w:gridCol w:w="1762"/>
    </w:tblGrid>
    <w:tr w:rsidR="00906DEE" w:rsidRPr="00E4379D" w:rsidTr="00276C23">
      <w:tc>
        <w:tcPr>
          <w:tcW w:w="2235" w:type="dxa"/>
          <w:tcBorders>
            <w:right w:val="single" w:sz="4" w:space="0" w:color="5B9BD5"/>
          </w:tcBorders>
          <w:shd w:val="clear" w:color="auto" w:fill="auto"/>
        </w:tcPr>
        <w:p w:rsidR="00906DEE" w:rsidRPr="00E4379D" w:rsidRDefault="00906DEE" w:rsidP="00276C23">
          <w:pPr>
            <w:pStyle w:val="Header"/>
            <w:rPr>
              <w:rFonts w:ascii="Lato" w:eastAsia="Lato" w:hAnsi="Lato"/>
              <w:sz w:val="14"/>
              <w:szCs w:val="14"/>
            </w:rPr>
          </w:pPr>
          <w:r w:rsidRPr="00E4379D">
            <w:rPr>
              <w:rFonts w:ascii="Lato" w:eastAsia="Lato" w:hAnsi="Lato"/>
              <w:sz w:val="14"/>
              <w:szCs w:val="14"/>
            </w:rPr>
            <w:t>Central Bank of Ireland</w:t>
          </w:r>
        </w:p>
      </w:tc>
      <w:tc>
        <w:tcPr>
          <w:tcW w:w="5806" w:type="dxa"/>
          <w:tcBorders>
            <w:left w:val="single" w:sz="4" w:space="0" w:color="5B9BD5"/>
            <w:right w:val="single" w:sz="4" w:space="0" w:color="5B9BD5"/>
          </w:tcBorders>
          <w:shd w:val="clear" w:color="auto" w:fill="auto"/>
        </w:tcPr>
        <w:p w:rsidR="00906DEE" w:rsidRPr="00E4379D" w:rsidRDefault="00906DEE" w:rsidP="00D66B95">
          <w:pPr>
            <w:pStyle w:val="Header"/>
            <w:rPr>
              <w:rFonts w:ascii="Lato" w:eastAsia="Lato" w:hAnsi="Lato"/>
              <w:sz w:val="14"/>
              <w:szCs w:val="14"/>
            </w:rPr>
          </w:pPr>
          <w:r w:rsidRPr="00305BE2">
            <w:rPr>
              <w:rFonts w:ascii="Lato" w:eastAsia="Lato" w:hAnsi="Lato"/>
              <w:sz w:val="14"/>
              <w:szCs w:val="14"/>
            </w:rPr>
            <w:t>Retail Investor AIF Application Form Section 2 ORION</w:t>
          </w:r>
          <w:r w:rsidR="00811B8B">
            <w:rPr>
              <w:rFonts w:ascii="Lato" w:eastAsia="Lato" w:hAnsi="Lato"/>
              <w:sz w:val="14"/>
              <w:szCs w:val="14"/>
            </w:rPr>
            <w:t xml:space="preserve"> </w:t>
          </w:r>
          <w:r w:rsidR="00D66B95">
            <w:rPr>
              <w:rFonts w:ascii="Lato" w:eastAsia="Lato" w:hAnsi="Lato"/>
              <w:sz w:val="14"/>
              <w:szCs w:val="14"/>
            </w:rPr>
            <w:t xml:space="preserve">February </w:t>
          </w:r>
          <w:r w:rsidR="00672F4B">
            <w:rPr>
              <w:rFonts w:ascii="Lato" w:eastAsia="Lato" w:hAnsi="Lato"/>
              <w:sz w:val="14"/>
              <w:szCs w:val="14"/>
            </w:rPr>
            <w:t>2021</w:t>
          </w:r>
        </w:p>
      </w:tc>
      <w:tc>
        <w:tcPr>
          <w:tcW w:w="1762" w:type="dxa"/>
          <w:tcBorders>
            <w:left w:val="single" w:sz="4" w:space="0" w:color="5B9BD5"/>
          </w:tcBorders>
          <w:shd w:val="clear" w:color="auto" w:fill="auto"/>
        </w:tcPr>
        <w:p w:rsidR="00906DEE" w:rsidRPr="00E4379D" w:rsidRDefault="00906DEE" w:rsidP="00276C23">
          <w:pPr>
            <w:pStyle w:val="Header"/>
            <w:jc w:val="center"/>
            <w:rPr>
              <w:rFonts w:ascii="Lato" w:eastAsia="Lato" w:hAnsi="Lato"/>
              <w:sz w:val="14"/>
              <w:szCs w:val="14"/>
            </w:rPr>
          </w:pPr>
          <w:r w:rsidRPr="00E4379D">
            <w:rPr>
              <w:rFonts w:ascii="Lato" w:eastAsia="Lato" w:hAnsi="Lato"/>
              <w:sz w:val="14"/>
              <w:szCs w:val="14"/>
            </w:rPr>
            <w:t xml:space="preserve">Page </w:t>
          </w:r>
          <w:r w:rsidRPr="00E4379D">
            <w:rPr>
              <w:rFonts w:ascii="Lato" w:eastAsia="Lato" w:hAnsi="Lato"/>
              <w:sz w:val="14"/>
              <w:szCs w:val="14"/>
            </w:rPr>
            <w:fldChar w:fldCharType="begin"/>
          </w:r>
          <w:r w:rsidRPr="00E4379D">
            <w:rPr>
              <w:rFonts w:ascii="Lato" w:eastAsia="Lato" w:hAnsi="Lato"/>
              <w:sz w:val="14"/>
              <w:szCs w:val="14"/>
            </w:rPr>
            <w:instrText xml:space="preserve"> PAGE   \* MERGEFORMAT </w:instrText>
          </w:r>
          <w:r w:rsidRPr="00E4379D">
            <w:rPr>
              <w:rFonts w:ascii="Lato" w:eastAsia="Lato" w:hAnsi="Lato"/>
              <w:sz w:val="14"/>
              <w:szCs w:val="14"/>
            </w:rPr>
            <w:fldChar w:fldCharType="separate"/>
          </w:r>
          <w:r w:rsidR="00EE5D86">
            <w:rPr>
              <w:rFonts w:ascii="Lato" w:eastAsia="Lato" w:hAnsi="Lato"/>
              <w:noProof/>
              <w:sz w:val="14"/>
              <w:szCs w:val="14"/>
            </w:rPr>
            <w:t>13</w:t>
          </w:r>
          <w:r w:rsidRPr="00E4379D">
            <w:rPr>
              <w:rFonts w:ascii="Lato" w:eastAsia="Lato" w:hAnsi="Lato"/>
              <w:noProof/>
              <w:sz w:val="14"/>
              <w:szCs w:val="14"/>
            </w:rPr>
            <w:fldChar w:fldCharType="end"/>
          </w:r>
        </w:p>
      </w:tc>
    </w:tr>
  </w:tbl>
  <w:p w:rsidR="00906DEE" w:rsidRPr="00BA75BC" w:rsidRDefault="00906DEE" w:rsidP="008C6087">
    <w:pPr>
      <w:pStyle w:val="Header"/>
      <w:pBdr>
        <w:top w:val="single" w:sz="2" w:space="3" w:color="FFFFFF"/>
        <w:left w:val="single" w:sz="2" w:space="3" w:color="FFFFFF"/>
        <w:bottom w:val="single" w:sz="2" w:space="4" w:color="FFFFFF"/>
        <w:right w:val="single" w:sz="2" w:space="3" w:color="FFFFFF"/>
      </w:pBdr>
      <w:tabs>
        <w:tab w:val="left" w:pos="5808"/>
      </w:tabs>
      <w:rPr>
        <w:rFonts w:ascii="Helvetica" w:hAnsi="Helvetica"/>
        <w:b/>
        <w:color w:val="FFFFFF"/>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EE" w:rsidRPr="00551156" w:rsidRDefault="00EE5D86" w:rsidP="00EE5D86">
    <w:pPr>
      <w:pStyle w:val="Header"/>
    </w:pPr>
    <w:fldSimple w:instr=" DOCPROPERTY bjHeaderBothDocProperty \* MERGEFORMAT " w:fldLock="1">
      <w:r w:rsidRPr="00EE5D86">
        <w:rPr>
          <w:rFonts w:ascii="Times New Roman" w:hAnsi="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41A13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5A615E"/>
    <w:multiLevelType w:val="hybridMultilevel"/>
    <w:tmpl w:val="383CB4D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D5326D"/>
    <w:multiLevelType w:val="hybridMultilevel"/>
    <w:tmpl w:val="14601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B64411"/>
    <w:multiLevelType w:val="hybridMultilevel"/>
    <w:tmpl w:val="E0E447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D52E7B"/>
    <w:multiLevelType w:val="hybridMultilevel"/>
    <w:tmpl w:val="D8D864F0"/>
    <w:lvl w:ilvl="0" w:tplc="C76AE89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650D89"/>
    <w:multiLevelType w:val="hybridMultilevel"/>
    <w:tmpl w:val="E2D0E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AB5002"/>
    <w:multiLevelType w:val="hybridMultilevel"/>
    <w:tmpl w:val="F19C8890"/>
    <w:lvl w:ilvl="0" w:tplc="BF06CC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8F6558"/>
    <w:multiLevelType w:val="hybridMultilevel"/>
    <w:tmpl w:val="86BC455E"/>
    <w:lvl w:ilvl="0" w:tplc="89363D92">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46742107"/>
    <w:multiLevelType w:val="hybridMultilevel"/>
    <w:tmpl w:val="9F805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67431D"/>
    <w:multiLevelType w:val="hybridMultilevel"/>
    <w:tmpl w:val="F658274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8B6013"/>
    <w:multiLevelType w:val="hybridMultilevel"/>
    <w:tmpl w:val="DC14AE7A"/>
    <w:lvl w:ilvl="0" w:tplc="79DC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F353FF"/>
    <w:multiLevelType w:val="hybridMultilevel"/>
    <w:tmpl w:val="42B21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4B8533D"/>
    <w:multiLevelType w:val="hybridMultilevel"/>
    <w:tmpl w:val="E5AC7CF0"/>
    <w:lvl w:ilvl="0" w:tplc="E7A4130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982036"/>
    <w:multiLevelType w:val="hybridMultilevel"/>
    <w:tmpl w:val="4F7A7732"/>
    <w:lvl w:ilvl="0" w:tplc="37ECBA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A1518EF"/>
    <w:multiLevelType w:val="hybridMultilevel"/>
    <w:tmpl w:val="AA76F4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843F67"/>
    <w:multiLevelType w:val="hybridMultilevel"/>
    <w:tmpl w:val="083C42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2800B7F"/>
    <w:multiLevelType w:val="hybridMultilevel"/>
    <w:tmpl w:val="5CAEE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B5C04CF"/>
    <w:multiLevelType w:val="hybridMultilevel"/>
    <w:tmpl w:val="452E4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5E4C04"/>
    <w:multiLevelType w:val="hybridMultilevel"/>
    <w:tmpl w:val="D99A8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FD2D11"/>
    <w:multiLevelType w:val="hybridMultilevel"/>
    <w:tmpl w:val="9FFAD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6A13F34"/>
    <w:multiLevelType w:val="hybridMultilevel"/>
    <w:tmpl w:val="FC8639F2"/>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1" w15:restartNumberingAfterBreak="0">
    <w:nsid w:val="7A490F4B"/>
    <w:multiLevelType w:val="hybridMultilevel"/>
    <w:tmpl w:val="0F62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2"/>
  </w:num>
  <w:num w:numId="9">
    <w:abstractNumId w:val="17"/>
  </w:num>
  <w:num w:numId="10">
    <w:abstractNumId w:val="13"/>
  </w:num>
  <w:num w:numId="11">
    <w:abstractNumId w:val="12"/>
  </w:num>
  <w:num w:numId="12">
    <w:abstractNumId w:val="10"/>
  </w:num>
  <w:num w:numId="13">
    <w:abstractNumId w:val="6"/>
  </w:num>
  <w:num w:numId="14">
    <w:abstractNumId w:val="4"/>
  </w:num>
  <w:num w:numId="15">
    <w:abstractNumId w:val="11"/>
  </w:num>
  <w:num w:numId="16">
    <w:abstractNumId w:val="9"/>
  </w:num>
  <w:num w:numId="17">
    <w:abstractNumId w:val="1"/>
  </w:num>
  <w:num w:numId="18">
    <w:abstractNumId w:val="8"/>
  </w:num>
  <w:num w:numId="19">
    <w:abstractNumId w:val="16"/>
  </w:num>
  <w:num w:numId="20">
    <w:abstractNumId w:val="2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21"/>
    <w:rsid w:val="00002E7F"/>
    <w:rsid w:val="00005F70"/>
    <w:rsid w:val="00006ED0"/>
    <w:rsid w:val="000129DA"/>
    <w:rsid w:val="000143F9"/>
    <w:rsid w:val="0001795A"/>
    <w:rsid w:val="00020220"/>
    <w:rsid w:val="00020329"/>
    <w:rsid w:val="000205C0"/>
    <w:rsid w:val="0002494F"/>
    <w:rsid w:val="00030F1C"/>
    <w:rsid w:val="0003529F"/>
    <w:rsid w:val="00035DFB"/>
    <w:rsid w:val="00036CBB"/>
    <w:rsid w:val="0003787D"/>
    <w:rsid w:val="00040D95"/>
    <w:rsid w:val="00041FB2"/>
    <w:rsid w:val="000438ED"/>
    <w:rsid w:val="000554C0"/>
    <w:rsid w:val="0006125B"/>
    <w:rsid w:val="00062633"/>
    <w:rsid w:val="00062D9F"/>
    <w:rsid w:val="00070F1E"/>
    <w:rsid w:val="00073961"/>
    <w:rsid w:val="00075146"/>
    <w:rsid w:val="00075664"/>
    <w:rsid w:val="00075CE7"/>
    <w:rsid w:val="000778F2"/>
    <w:rsid w:val="00080446"/>
    <w:rsid w:val="000810DE"/>
    <w:rsid w:val="00083F87"/>
    <w:rsid w:val="0008461E"/>
    <w:rsid w:val="00087156"/>
    <w:rsid w:val="00090395"/>
    <w:rsid w:val="000911ED"/>
    <w:rsid w:val="0009219D"/>
    <w:rsid w:val="000928A3"/>
    <w:rsid w:val="00092C0E"/>
    <w:rsid w:val="000A1775"/>
    <w:rsid w:val="000A2DA1"/>
    <w:rsid w:val="000A362C"/>
    <w:rsid w:val="000A5543"/>
    <w:rsid w:val="000A7B04"/>
    <w:rsid w:val="000B1CF0"/>
    <w:rsid w:val="000B51D2"/>
    <w:rsid w:val="000D13D8"/>
    <w:rsid w:val="000D211E"/>
    <w:rsid w:val="000D22B6"/>
    <w:rsid w:val="000D3AF8"/>
    <w:rsid w:val="000D40C4"/>
    <w:rsid w:val="000D4537"/>
    <w:rsid w:val="000D5776"/>
    <w:rsid w:val="000D6345"/>
    <w:rsid w:val="000E06C0"/>
    <w:rsid w:val="000E23B3"/>
    <w:rsid w:val="000E3845"/>
    <w:rsid w:val="000E51D2"/>
    <w:rsid w:val="000F12F4"/>
    <w:rsid w:val="000F2FB2"/>
    <w:rsid w:val="001004B5"/>
    <w:rsid w:val="00102BA0"/>
    <w:rsid w:val="001032D1"/>
    <w:rsid w:val="0011485F"/>
    <w:rsid w:val="00116068"/>
    <w:rsid w:val="00125267"/>
    <w:rsid w:val="00126527"/>
    <w:rsid w:val="00126CF2"/>
    <w:rsid w:val="0014328D"/>
    <w:rsid w:val="00143A2B"/>
    <w:rsid w:val="001451D0"/>
    <w:rsid w:val="001470C5"/>
    <w:rsid w:val="001472B8"/>
    <w:rsid w:val="00150714"/>
    <w:rsid w:val="001550FC"/>
    <w:rsid w:val="001576D6"/>
    <w:rsid w:val="00162A28"/>
    <w:rsid w:val="00166309"/>
    <w:rsid w:val="001744FD"/>
    <w:rsid w:val="00175437"/>
    <w:rsid w:val="0018172D"/>
    <w:rsid w:val="001820C5"/>
    <w:rsid w:val="00182B56"/>
    <w:rsid w:val="00191CE3"/>
    <w:rsid w:val="0019526E"/>
    <w:rsid w:val="0019704F"/>
    <w:rsid w:val="001A7ED3"/>
    <w:rsid w:val="001B015B"/>
    <w:rsid w:val="001B4FCB"/>
    <w:rsid w:val="001C0125"/>
    <w:rsid w:val="001C4307"/>
    <w:rsid w:val="001C4783"/>
    <w:rsid w:val="001C54B7"/>
    <w:rsid w:val="001C7B4E"/>
    <w:rsid w:val="001D0093"/>
    <w:rsid w:val="001D30F0"/>
    <w:rsid w:val="001D5A63"/>
    <w:rsid w:val="001E3DA4"/>
    <w:rsid w:val="001E5582"/>
    <w:rsid w:val="001F04A7"/>
    <w:rsid w:val="001F1B83"/>
    <w:rsid w:val="001F2299"/>
    <w:rsid w:val="001F4819"/>
    <w:rsid w:val="001F7D8C"/>
    <w:rsid w:val="00204F3B"/>
    <w:rsid w:val="002171EB"/>
    <w:rsid w:val="00221423"/>
    <w:rsid w:val="00224BF8"/>
    <w:rsid w:val="00226429"/>
    <w:rsid w:val="00226C64"/>
    <w:rsid w:val="00232696"/>
    <w:rsid w:val="0023603C"/>
    <w:rsid w:val="0023745F"/>
    <w:rsid w:val="00245C63"/>
    <w:rsid w:val="002526A6"/>
    <w:rsid w:val="00254C3A"/>
    <w:rsid w:val="00255A1D"/>
    <w:rsid w:val="0025755B"/>
    <w:rsid w:val="0026095E"/>
    <w:rsid w:val="002611FC"/>
    <w:rsid w:val="002718B0"/>
    <w:rsid w:val="00276C23"/>
    <w:rsid w:val="0027744F"/>
    <w:rsid w:val="002804CA"/>
    <w:rsid w:val="00281C14"/>
    <w:rsid w:val="00282968"/>
    <w:rsid w:val="00283043"/>
    <w:rsid w:val="002911EE"/>
    <w:rsid w:val="00294628"/>
    <w:rsid w:val="002A3446"/>
    <w:rsid w:val="002A62A4"/>
    <w:rsid w:val="002A6595"/>
    <w:rsid w:val="002B077B"/>
    <w:rsid w:val="002B1D82"/>
    <w:rsid w:val="002B2CDF"/>
    <w:rsid w:val="002B4BC3"/>
    <w:rsid w:val="002B5FD5"/>
    <w:rsid w:val="002C0431"/>
    <w:rsid w:val="002C2733"/>
    <w:rsid w:val="002C4D15"/>
    <w:rsid w:val="002D3BC9"/>
    <w:rsid w:val="002E08E1"/>
    <w:rsid w:val="002E265B"/>
    <w:rsid w:val="002E5E9E"/>
    <w:rsid w:val="002F0343"/>
    <w:rsid w:val="002F07AF"/>
    <w:rsid w:val="00300E79"/>
    <w:rsid w:val="00301C2C"/>
    <w:rsid w:val="00301CBB"/>
    <w:rsid w:val="003044B0"/>
    <w:rsid w:val="00305BE2"/>
    <w:rsid w:val="0030682B"/>
    <w:rsid w:val="00306877"/>
    <w:rsid w:val="00306F35"/>
    <w:rsid w:val="00307718"/>
    <w:rsid w:val="003135B9"/>
    <w:rsid w:val="00313EDC"/>
    <w:rsid w:val="00314452"/>
    <w:rsid w:val="00317115"/>
    <w:rsid w:val="00317A44"/>
    <w:rsid w:val="003208E0"/>
    <w:rsid w:val="00327830"/>
    <w:rsid w:val="00331C83"/>
    <w:rsid w:val="00333264"/>
    <w:rsid w:val="00335263"/>
    <w:rsid w:val="0033791D"/>
    <w:rsid w:val="003454DC"/>
    <w:rsid w:val="0035164D"/>
    <w:rsid w:val="00353AA6"/>
    <w:rsid w:val="00353ECA"/>
    <w:rsid w:val="00354086"/>
    <w:rsid w:val="00356F2F"/>
    <w:rsid w:val="00361E3F"/>
    <w:rsid w:val="00362BDC"/>
    <w:rsid w:val="003644B5"/>
    <w:rsid w:val="00367575"/>
    <w:rsid w:val="0036795B"/>
    <w:rsid w:val="00370D74"/>
    <w:rsid w:val="003736C2"/>
    <w:rsid w:val="00377D2D"/>
    <w:rsid w:val="003865B7"/>
    <w:rsid w:val="00390A5F"/>
    <w:rsid w:val="00392FFD"/>
    <w:rsid w:val="003A177E"/>
    <w:rsid w:val="003A210C"/>
    <w:rsid w:val="003B2DB6"/>
    <w:rsid w:val="003C335F"/>
    <w:rsid w:val="003C3E16"/>
    <w:rsid w:val="003C4584"/>
    <w:rsid w:val="003C5ACA"/>
    <w:rsid w:val="003D0FCC"/>
    <w:rsid w:val="003D53F7"/>
    <w:rsid w:val="003D54D4"/>
    <w:rsid w:val="003D589F"/>
    <w:rsid w:val="003E062B"/>
    <w:rsid w:val="003E1720"/>
    <w:rsid w:val="003E3558"/>
    <w:rsid w:val="003F131E"/>
    <w:rsid w:val="003F241F"/>
    <w:rsid w:val="003F3C2A"/>
    <w:rsid w:val="003F52CE"/>
    <w:rsid w:val="00404554"/>
    <w:rsid w:val="00405251"/>
    <w:rsid w:val="00405CAD"/>
    <w:rsid w:val="004101FD"/>
    <w:rsid w:val="00413484"/>
    <w:rsid w:val="0041486D"/>
    <w:rsid w:val="004226CE"/>
    <w:rsid w:val="004231DE"/>
    <w:rsid w:val="00424BC8"/>
    <w:rsid w:val="00427C8D"/>
    <w:rsid w:val="004308B4"/>
    <w:rsid w:val="0043415A"/>
    <w:rsid w:val="00434229"/>
    <w:rsid w:val="004356F5"/>
    <w:rsid w:val="00436F78"/>
    <w:rsid w:val="004426DA"/>
    <w:rsid w:val="0044691A"/>
    <w:rsid w:val="00447618"/>
    <w:rsid w:val="00447C79"/>
    <w:rsid w:val="00450459"/>
    <w:rsid w:val="00464DF3"/>
    <w:rsid w:val="00471ACC"/>
    <w:rsid w:val="0047303D"/>
    <w:rsid w:val="00473C1F"/>
    <w:rsid w:val="004748F6"/>
    <w:rsid w:val="00474CD1"/>
    <w:rsid w:val="00476BC7"/>
    <w:rsid w:val="00482236"/>
    <w:rsid w:val="00483384"/>
    <w:rsid w:val="00487DC3"/>
    <w:rsid w:val="004931E2"/>
    <w:rsid w:val="004934C9"/>
    <w:rsid w:val="0049482F"/>
    <w:rsid w:val="00495C53"/>
    <w:rsid w:val="00496306"/>
    <w:rsid w:val="004A253B"/>
    <w:rsid w:val="004A363F"/>
    <w:rsid w:val="004B59C9"/>
    <w:rsid w:val="004B68A1"/>
    <w:rsid w:val="004C0950"/>
    <w:rsid w:val="004C38E9"/>
    <w:rsid w:val="004C67EC"/>
    <w:rsid w:val="004C6D95"/>
    <w:rsid w:val="004D26BE"/>
    <w:rsid w:val="004D2A80"/>
    <w:rsid w:val="004D490A"/>
    <w:rsid w:val="004D598E"/>
    <w:rsid w:val="004D612F"/>
    <w:rsid w:val="004E0561"/>
    <w:rsid w:val="004E159D"/>
    <w:rsid w:val="004E4AF2"/>
    <w:rsid w:val="004E4E29"/>
    <w:rsid w:val="004E6936"/>
    <w:rsid w:val="004E7152"/>
    <w:rsid w:val="004F3054"/>
    <w:rsid w:val="004F52B0"/>
    <w:rsid w:val="004F6482"/>
    <w:rsid w:val="004F67F8"/>
    <w:rsid w:val="004F7639"/>
    <w:rsid w:val="005008BF"/>
    <w:rsid w:val="00503597"/>
    <w:rsid w:val="00503A7A"/>
    <w:rsid w:val="00506402"/>
    <w:rsid w:val="00512042"/>
    <w:rsid w:val="00512AB7"/>
    <w:rsid w:val="00512C41"/>
    <w:rsid w:val="00521143"/>
    <w:rsid w:val="005228F6"/>
    <w:rsid w:val="00522F0D"/>
    <w:rsid w:val="0052530C"/>
    <w:rsid w:val="00525B8D"/>
    <w:rsid w:val="00527E56"/>
    <w:rsid w:val="0053083F"/>
    <w:rsid w:val="005321A7"/>
    <w:rsid w:val="0053723C"/>
    <w:rsid w:val="005373F6"/>
    <w:rsid w:val="005406B1"/>
    <w:rsid w:val="00541647"/>
    <w:rsid w:val="005418AB"/>
    <w:rsid w:val="00543B82"/>
    <w:rsid w:val="005441DE"/>
    <w:rsid w:val="00544897"/>
    <w:rsid w:val="00544A5A"/>
    <w:rsid w:val="0054527E"/>
    <w:rsid w:val="0054655E"/>
    <w:rsid w:val="00546CAB"/>
    <w:rsid w:val="00550FC9"/>
    <w:rsid w:val="00551156"/>
    <w:rsid w:val="0055234E"/>
    <w:rsid w:val="0055409E"/>
    <w:rsid w:val="0055477B"/>
    <w:rsid w:val="00560C4B"/>
    <w:rsid w:val="00561C45"/>
    <w:rsid w:val="00562045"/>
    <w:rsid w:val="00564B82"/>
    <w:rsid w:val="005712BD"/>
    <w:rsid w:val="00577EE3"/>
    <w:rsid w:val="00581330"/>
    <w:rsid w:val="00586F3E"/>
    <w:rsid w:val="005A0520"/>
    <w:rsid w:val="005A0BD9"/>
    <w:rsid w:val="005A16BE"/>
    <w:rsid w:val="005A29E4"/>
    <w:rsid w:val="005A41D9"/>
    <w:rsid w:val="005A6CDD"/>
    <w:rsid w:val="005A7215"/>
    <w:rsid w:val="005A74DA"/>
    <w:rsid w:val="005B2ED6"/>
    <w:rsid w:val="005B3593"/>
    <w:rsid w:val="005B407E"/>
    <w:rsid w:val="005C2007"/>
    <w:rsid w:val="005C6138"/>
    <w:rsid w:val="005C79AC"/>
    <w:rsid w:val="005D011A"/>
    <w:rsid w:val="005D0DB6"/>
    <w:rsid w:val="005D411D"/>
    <w:rsid w:val="005D4483"/>
    <w:rsid w:val="005E05FE"/>
    <w:rsid w:val="005E141E"/>
    <w:rsid w:val="005E24AB"/>
    <w:rsid w:val="005E2BEF"/>
    <w:rsid w:val="005F01BC"/>
    <w:rsid w:val="005F35B0"/>
    <w:rsid w:val="005F4652"/>
    <w:rsid w:val="005F5117"/>
    <w:rsid w:val="005F6AE5"/>
    <w:rsid w:val="00601FD3"/>
    <w:rsid w:val="006136DF"/>
    <w:rsid w:val="00613BAE"/>
    <w:rsid w:val="00613BDA"/>
    <w:rsid w:val="00615B15"/>
    <w:rsid w:val="00616DD7"/>
    <w:rsid w:val="006178C8"/>
    <w:rsid w:val="006215E2"/>
    <w:rsid w:val="00624D79"/>
    <w:rsid w:val="006302B8"/>
    <w:rsid w:val="006307A2"/>
    <w:rsid w:val="006315F9"/>
    <w:rsid w:val="00632B88"/>
    <w:rsid w:val="00636CC5"/>
    <w:rsid w:val="00642184"/>
    <w:rsid w:val="00642629"/>
    <w:rsid w:val="0064392C"/>
    <w:rsid w:val="0064409F"/>
    <w:rsid w:val="006501F9"/>
    <w:rsid w:val="00653286"/>
    <w:rsid w:val="00655FE9"/>
    <w:rsid w:val="00657D34"/>
    <w:rsid w:val="006631D6"/>
    <w:rsid w:val="00663FCF"/>
    <w:rsid w:val="006700C4"/>
    <w:rsid w:val="0067227C"/>
    <w:rsid w:val="00672F4B"/>
    <w:rsid w:val="00674518"/>
    <w:rsid w:val="006803D9"/>
    <w:rsid w:val="00680D21"/>
    <w:rsid w:val="0068485A"/>
    <w:rsid w:val="00687034"/>
    <w:rsid w:val="006903BB"/>
    <w:rsid w:val="00691B1B"/>
    <w:rsid w:val="00691D1D"/>
    <w:rsid w:val="006929C5"/>
    <w:rsid w:val="0069341E"/>
    <w:rsid w:val="006963C8"/>
    <w:rsid w:val="006A2C73"/>
    <w:rsid w:val="006A2F1E"/>
    <w:rsid w:val="006A6AF2"/>
    <w:rsid w:val="006B0A91"/>
    <w:rsid w:val="006B3EE9"/>
    <w:rsid w:val="006B6A22"/>
    <w:rsid w:val="006B7738"/>
    <w:rsid w:val="006C342C"/>
    <w:rsid w:val="006C496A"/>
    <w:rsid w:val="006C49ED"/>
    <w:rsid w:val="006C6F55"/>
    <w:rsid w:val="006E1A54"/>
    <w:rsid w:val="006E4559"/>
    <w:rsid w:val="006E54CB"/>
    <w:rsid w:val="006E62E2"/>
    <w:rsid w:val="006F0599"/>
    <w:rsid w:val="006F13A9"/>
    <w:rsid w:val="006F4FA2"/>
    <w:rsid w:val="006F5C8A"/>
    <w:rsid w:val="006F5F89"/>
    <w:rsid w:val="006F747C"/>
    <w:rsid w:val="006F7517"/>
    <w:rsid w:val="006F7A33"/>
    <w:rsid w:val="00701466"/>
    <w:rsid w:val="00702EB8"/>
    <w:rsid w:val="00707026"/>
    <w:rsid w:val="00707E8C"/>
    <w:rsid w:val="007156D4"/>
    <w:rsid w:val="00717BAB"/>
    <w:rsid w:val="0072056A"/>
    <w:rsid w:val="00721417"/>
    <w:rsid w:val="00722C40"/>
    <w:rsid w:val="00722E56"/>
    <w:rsid w:val="00724464"/>
    <w:rsid w:val="00733BAF"/>
    <w:rsid w:val="00734E18"/>
    <w:rsid w:val="007428FE"/>
    <w:rsid w:val="0074782D"/>
    <w:rsid w:val="00751E00"/>
    <w:rsid w:val="00753796"/>
    <w:rsid w:val="007539BA"/>
    <w:rsid w:val="00755B0B"/>
    <w:rsid w:val="00757F89"/>
    <w:rsid w:val="00764265"/>
    <w:rsid w:val="0076719D"/>
    <w:rsid w:val="00770E8C"/>
    <w:rsid w:val="00773764"/>
    <w:rsid w:val="0079315F"/>
    <w:rsid w:val="007A1F78"/>
    <w:rsid w:val="007A33AC"/>
    <w:rsid w:val="007A39A7"/>
    <w:rsid w:val="007A45D1"/>
    <w:rsid w:val="007A475A"/>
    <w:rsid w:val="007A5AE8"/>
    <w:rsid w:val="007A6377"/>
    <w:rsid w:val="007A6F88"/>
    <w:rsid w:val="007B0E6F"/>
    <w:rsid w:val="007B119A"/>
    <w:rsid w:val="007B3D99"/>
    <w:rsid w:val="007B5D3E"/>
    <w:rsid w:val="007C10D4"/>
    <w:rsid w:val="007C37E3"/>
    <w:rsid w:val="007C6D1C"/>
    <w:rsid w:val="007C728D"/>
    <w:rsid w:val="007D05C6"/>
    <w:rsid w:val="007D0673"/>
    <w:rsid w:val="007D0FAD"/>
    <w:rsid w:val="007D29BA"/>
    <w:rsid w:val="007D3305"/>
    <w:rsid w:val="007D5F2D"/>
    <w:rsid w:val="007E167B"/>
    <w:rsid w:val="007E2C87"/>
    <w:rsid w:val="007E620A"/>
    <w:rsid w:val="007F0514"/>
    <w:rsid w:val="007F22A3"/>
    <w:rsid w:val="007F268F"/>
    <w:rsid w:val="007F294C"/>
    <w:rsid w:val="007F38C5"/>
    <w:rsid w:val="007F4EED"/>
    <w:rsid w:val="007F4FC9"/>
    <w:rsid w:val="0080036D"/>
    <w:rsid w:val="008028CF"/>
    <w:rsid w:val="00803455"/>
    <w:rsid w:val="008040CA"/>
    <w:rsid w:val="00805C8C"/>
    <w:rsid w:val="008071B4"/>
    <w:rsid w:val="0081045B"/>
    <w:rsid w:val="00810498"/>
    <w:rsid w:val="00810969"/>
    <w:rsid w:val="00810E3F"/>
    <w:rsid w:val="00810FEA"/>
    <w:rsid w:val="00811B8B"/>
    <w:rsid w:val="00812284"/>
    <w:rsid w:val="008161D3"/>
    <w:rsid w:val="00816A1D"/>
    <w:rsid w:val="008235B4"/>
    <w:rsid w:val="00827F69"/>
    <w:rsid w:val="00832B0F"/>
    <w:rsid w:val="00841792"/>
    <w:rsid w:val="00841ECF"/>
    <w:rsid w:val="0084355D"/>
    <w:rsid w:val="0084436A"/>
    <w:rsid w:val="00847542"/>
    <w:rsid w:val="00847D28"/>
    <w:rsid w:val="00850F39"/>
    <w:rsid w:val="008526D9"/>
    <w:rsid w:val="008527B0"/>
    <w:rsid w:val="00853CA3"/>
    <w:rsid w:val="00855171"/>
    <w:rsid w:val="00857EF9"/>
    <w:rsid w:val="00865AAF"/>
    <w:rsid w:val="00867089"/>
    <w:rsid w:val="0086751F"/>
    <w:rsid w:val="0087052F"/>
    <w:rsid w:val="0087199D"/>
    <w:rsid w:val="0087217C"/>
    <w:rsid w:val="0087303A"/>
    <w:rsid w:val="00873536"/>
    <w:rsid w:val="00875104"/>
    <w:rsid w:val="00876480"/>
    <w:rsid w:val="008764F8"/>
    <w:rsid w:val="00877692"/>
    <w:rsid w:val="00882E48"/>
    <w:rsid w:val="008836A0"/>
    <w:rsid w:val="00885A5D"/>
    <w:rsid w:val="00891A66"/>
    <w:rsid w:val="00892A50"/>
    <w:rsid w:val="00896A4A"/>
    <w:rsid w:val="008A1E67"/>
    <w:rsid w:val="008A2EA0"/>
    <w:rsid w:val="008A3AC8"/>
    <w:rsid w:val="008A704A"/>
    <w:rsid w:val="008B350C"/>
    <w:rsid w:val="008B394F"/>
    <w:rsid w:val="008B3BC2"/>
    <w:rsid w:val="008B672F"/>
    <w:rsid w:val="008B7ECC"/>
    <w:rsid w:val="008C356E"/>
    <w:rsid w:val="008C6087"/>
    <w:rsid w:val="008D5B85"/>
    <w:rsid w:val="008D6B49"/>
    <w:rsid w:val="008E4DDD"/>
    <w:rsid w:val="008E5457"/>
    <w:rsid w:val="008F0149"/>
    <w:rsid w:val="008F2281"/>
    <w:rsid w:val="008F27BD"/>
    <w:rsid w:val="008F5D4D"/>
    <w:rsid w:val="00900872"/>
    <w:rsid w:val="009020C6"/>
    <w:rsid w:val="00903969"/>
    <w:rsid w:val="00904766"/>
    <w:rsid w:val="00906DEE"/>
    <w:rsid w:val="00911197"/>
    <w:rsid w:val="00915562"/>
    <w:rsid w:val="009208AA"/>
    <w:rsid w:val="00921230"/>
    <w:rsid w:val="00922B26"/>
    <w:rsid w:val="00924162"/>
    <w:rsid w:val="009266ED"/>
    <w:rsid w:val="0093081E"/>
    <w:rsid w:val="0093086F"/>
    <w:rsid w:val="009318A0"/>
    <w:rsid w:val="00934F55"/>
    <w:rsid w:val="00941E88"/>
    <w:rsid w:val="009420A8"/>
    <w:rsid w:val="00943F73"/>
    <w:rsid w:val="00944223"/>
    <w:rsid w:val="00944672"/>
    <w:rsid w:val="00950044"/>
    <w:rsid w:val="0095258E"/>
    <w:rsid w:val="00953B84"/>
    <w:rsid w:val="00955AE5"/>
    <w:rsid w:val="00956AD4"/>
    <w:rsid w:val="0096093C"/>
    <w:rsid w:val="00960C3F"/>
    <w:rsid w:val="00961377"/>
    <w:rsid w:val="00966D2C"/>
    <w:rsid w:val="009714B9"/>
    <w:rsid w:val="00971B4E"/>
    <w:rsid w:val="00971E89"/>
    <w:rsid w:val="00972C66"/>
    <w:rsid w:val="00977647"/>
    <w:rsid w:val="0098599D"/>
    <w:rsid w:val="00987AD1"/>
    <w:rsid w:val="00993E37"/>
    <w:rsid w:val="00994B90"/>
    <w:rsid w:val="009A2205"/>
    <w:rsid w:val="009A3DBD"/>
    <w:rsid w:val="009B0533"/>
    <w:rsid w:val="009B531F"/>
    <w:rsid w:val="009B5AC9"/>
    <w:rsid w:val="009C09A1"/>
    <w:rsid w:val="009C38D8"/>
    <w:rsid w:val="009C3FA1"/>
    <w:rsid w:val="009D0C6E"/>
    <w:rsid w:val="009D0D78"/>
    <w:rsid w:val="009D2753"/>
    <w:rsid w:val="009D6AA3"/>
    <w:rsid w:val="009E07FF"/>
    <w:rsid w:val="009F1631"/>
    <w:rsid w:val="009F1F21"/>
    <w:rsid w:val="009F373B"/>
    <w:rsid w:val="009F5496"/>
    <w:rsid w:val="009F5DB4"/>
    <w:rsid w:val="00A015FC"/>
    <w:rsid w:val="00A06419"/>
    <w:rsid w:val="00A12E7F"/>
    <w:rsid w:val="00A233BD"/>
    <w:rsid w:val="00A244FF"/>
    <w:rsid w:val="00A250B8"/>
    <w:rsid w:val="00A253CA"/>
    <w:rsid w:val="00A275A6"/>
    <w:rsid w:val="00A31220"/>
    <w:rsid w:val="00A31D8D"/>
    <w:rsid w:val="00A32B81"/>
    <w:rsid w:val="00A34622"/>
    <w:rsid w:val="00A373A0"/>
    <w:rsid w:val="00A373A8"/>
    <w:rsid w:val="00A43D24"/>
    <w:rsid w:val="00A45CB5"/>
    <w:rsid w:val="00A4616F"/>
    <w:rsid w:val="00A47226"/>
    <w:rsid w:val="00A54337"/>
    <w:rsid w:val="00A56F6A"/>
    <w:rsid w:val="00A57204"/>
    <w:rsid w:val="00A63FFD"/>
    <w:rsid w:val="00A65866"/>
    <w:rsid w:val="00A65D56"/>
    <w:rsid w:val="00A66921"/>
    <w:rsid w:val="00A720F1"/>
    <w:rsid w:val="00A767F2"/>
    <w:rsid w:val="00A76959"/>
    <w:rsid w:val="00A81D8C"/>
    <w:rsid w:val="00A83F62"/>
    <w:rsid w:val="00A860FB"/>
    <w:rsid w:val="00A94307"/>
    <w:rsid w:val="00A96BA0"/>
    <w:rsid w:val="00A978A5"/>
    <w:rsid w:val="00AA0E85"/>
    <w:rsid w:val="00AA2700"/>
    <w:rsid w:val="00AA4076"/>
    <w:rsid w:val="00AA5803"/>
    <w:rsid w:val="00AA6D4C"/>
    <w:rsid w:val="00AA72C3"/>
    <w:rsid w:val="00AB0A23"/>
    <w:rsid w:val="00AB48E5"/>
    <w:rsid w:val="00AB7DF2"/>
    <w:rsid w:val="00AC2356"/>
    <w:rsid w:val="00AC467B"/>
    <w:rsid w:val="00AC6136"/>
    <w:rsid w:val="00AD368F"/>
    <w:rsid w:val="00AD481E"/>
    <w:rsid w:val="00AD53CF"/>
    <w:rsid w:val="00AF065E"/>
    <w:rsid w:val="00AF2CB3"/>
    <w:rsid w:val="00AF46CE"/>
    <w:rsid w:val="00AF6CFB"/>
    <w:rsid w:val="00AF7D17"/>
    <w:rsid w:val="00B02B34"/>
    <w:rsid w:val="00B10F6A"/>
    <w:rsid w:val="00B14694"/>
    <w:rsid w:val="00B1565D"/>
    <w:rsid w:val="00B1683E"/>
    <w:rsid w:val="00B20AE3"/>
    <w:rsid w:val="00B2197E"/>
    <w:rsid w:val="00B2472D"/>
    <w:rsid w:val="00B26434"/>
    <w:rsid w:val="00B27875"/>
    <w:rsid w:val="00B27B29"/>
    <w:rsid w:val="00B31A63"/>
    <w:rsid w:val="00B33A5E"/>
    <w:rsid w:val="00B35251"/>
    <w:rsid w:val="00B40B02"/>
    <w:rsid w:val="00B42709"/>
    <w:rsid w:val="00B512BB"/>
    <w:rsid w:val="00B564AD"/>
    <w:rsid w:val="00B568A7"/>
    <w:rsid w:val="00B60525"/>
    <w:rsid w:val="00B6360E"/>
    <w:rsid w:val="00B70F71"/>
    <w:rsid w:val="00B71012"/>
    <w:rsid w:val="00B7175D"/>
    <w:rsid w:val="00B76258"/>
    <w:rsid w:val="00B77A66"/>
    <w:rsid w:val="00B8242C"/>
    <w:rsid w:val="00B8368F"/>
    <w:rsid w:val="00B903A3"/>
    <w:rsid w:val="00B9512B"/>
    <w:rsid w:val="00BA0256"/>
    <w:rsid w:val="00BA10DB"/>
    <w:rsid w:val="00BA27D1"/>
    <w:rsid w:val="00BA31D1"/>
    <w:rsid w:val="00BA5F1F"/>
    <w:rsid w:val="00BB1DF3"/>
    <w:rsid w:val="00BC0A7E"/>
    <w:rsid w:val="00BC259D"/>
    <w:rsid w:val="00BC4AD5"/>
    <w:rsid w:val="00BD105E"/>
    <w:rsid w:val="00BD1694"/>
    <w:rsid w:val="00BD16AE"/>
    <w:rsid w:val="00BD33F8"/>
    <w:rsid w:val="00BD4C47"/>
    <w:rsid w:val="00BD6461"/>
    <w:rsid w:val="00BD6DF3"/>
    <w:rsid w:val="00BD6F9F"/>
    <w:rsid w:val="00BD7860"/>
    <w:rsid w:val="00BD7D74"/>
    <w:rsid w:val="00BE3AD7"/>
    <w:rsid w:val="00BF1487"/>
    <w:rsid w:val="00BF1811"/>
    <w:rsid w:val="00BF600C"/>
    <w:rsid w:val="00C013EB"/>
    <w:rsid w:val="00C0345E"/>
    <w:rsid w:val="00C037DF"/>
    <w:rsid w:val="00C05324"/>
    <w:rsid w:val="00C14214"/>
    <w:rsid w:val="00C157DD"/>
    <w:rsid w:val="00C15971"/>
    <w:rsid w:val="00C16F74"/>
    <w:rsid w:val="00C25221"/>
    <w:rsid w:val="00C27CF3"/>
    <w:rsid w:val="00C348EB"/>
    <w:rsid w:val="00C35B50"/>
    <w:rsid w:val="00C36E06"/>
    <w:rsid w:val="00C37937"/>
    <w:rsid w:val="00C44EBF"/>
    <w:rsid w:val="00C4620D"/>
    <w:rsid w:val="00C47AC2"/>
    <w:rsid w:val="00C47ADB"/>
    <w:rsid w:val="00C518A3"/>
    <w:rsid w:val="00C51B55"/>
    <w:rsid w:val="00C52036"/>
    <w:rsid w:val="00C5309B"/>
    <w:rsid w:val="00C56953"/>
    <w:rsid w:val="00C60858"/>
    <w:rsid w:val="00C6238B"/>
    <w:rsid w:val="00C632B3"/>
    <w:rsid w:val="00C7033C"/>
    <w:rsid w:val="00C71273"/>
    <w:rsid w:val="00C72A9F"/>
    <w:rsid w:val="00C74F29"/>
    <w:rsid w:val="00C81BEC"/>
    <w:rsid w:val="00C83F6B"/>
    <w:rsid w:val="00C8500A"/>
    <w:rsid w:val="00C91B55"/>
    <w:rsid w:val="00C91D49"/>
    <w:rsid w:val="00C93E00"/>
    <w:rsid w:val="00C95A6B"/>
    <w:rsid w:val="00CA479B"/>
    <w:rsid w:val="00CA4892"/>
    <w:rsid w:val="00CB0382"/>
    <w:rsid w:val="00CB467A"/>
    <w:rsid w:val="00CB4DFB"/>
    <w:rsid w:val="00CB7509"/>
    <w:rsid w:val="00CC33D5"/>
    <w:rsid w:val="00CC37E9"/>
    <w:rsid w:val="00CC4451"/>
    <w:rsid w:val="00CC50DD"/>
    <w:rsid w:val="00CC6D86"/>
    <w:rsid w:val="00CD1679"/>
    <w:rsid w:val="00CD4EAF"/>
    <w:rsid w:val="00CE0866"/>
    <w:rsid w:val="00CE154D"/>
    <w:rsid w:val="00CE5178"/>
    <w:rsid w:val="00CE65C1"/>
    <w:rsid w:val="00CE6855"/>
    <w:rsid w:val="00CE6D7B"/>
    <w:rsid w:val="00CF17B3"/>
    <w:rsid w:val="00CF2E7B"/>
    <w:rsid w:val="00CF4050"/>
    <w:rsid w:val="00CF5460"/>
    <w:rsid w:val="00D0045C"/>
    <w:rsid w:val="00D008B2"/>
    <w:rsid w:val="00D02F61"/>
    <w:rsid w:val="00D038D6"/>
    <w:rsid w:val="00D0447E"/>
    <w:rsid w:val="00D07394"/>
    <w:rsid w:val="00D10559"/>
    <w:rsid w:val="00D138F5"/>
    <w:rsid w:val="00D16DC5"/>
    <w:rsid w:val="00D20B7E"/>
    <w:rsid w:val="00D219F4"/>
    <w:rsid w:val="00D23551"/>
    <w:rsid w:val="00D23D3B"/>
    <w:rsid w:val="00D278BB"/>
    <w:rsid w:val="00D27E8B"/>
    <w:rsid w:val="00D3128A"/>
    <w:rsid w:val="00D432E9"/>
    <w:rsid w:val="00D51CC1"/>
    <w:rsid w:val="00D55393"/>
    <w:rsid w:val="00D565D8"/>
    <w:rsid w:val="00D56C4B"/>
    <w:rsid w:val="00D66B95"/>
    <w:rsid w:val="00D74909"/>
    <w:rsid w:val="00D8351E"/>
    <w:rsid w:val="00D84669"/>
    <w:rsid w:val="00D8611F"/>
    <w:rsid w:val="00D92B51"/>
    <w:rsid w:val="00D93B4B"/>
    <w:rsid w:val="00D941F7"/>
    <w:rsid w:val="00D947FE"/>
    <w:rsid w:val="00D9730E"/>
    <w:rsid w:val="00D97CC5"/>
    <w:rsid w:val="00DA02F4"/>
    <w:rsid w:val="00DA13BC"/>
    <w:rsid w:val="00DA2381"/>
    <w:rsid w:val="00DA7761"/>
    <w:rsid w:val="00DB1AF0"/>
    <w:rsid w:val="00DB3F0B"/>
    <w:rsid w:val="00DB4B6B"/>
    <w:rsid w:val="00DC1524"/>
    <w:rsid w:val="00DC2631"/>
    <w:rsid w:val="00DC57BD"/>
    <w:rsid w:val="00DC6522"/>
    <w:rsid w:val="00DD3CC3"/>
    <w:rsid w:val="00DD7BB0"/>
    <w:rsid w:val="00DE0AE5"/>
    <w:rsid w:val="00DE3FF3"/>
    <w:rsid w:val="00DE5498"/>
    <w:rsid w:val="00DE7461"/>
    <w:rsid w:val="00DE7DA4"/>
    <w:rsid w:val="00DF1F58"/>
    <w:rsid w:val="00DF53C2"/>
    <w:rsid w:val="00DF7C62"/>
    <w:rsid w:val="00E07C2F"/>
    <w:rsid w:val="00E10D41"/>
    <w:rsid w:val="00E14B25"/>
    <w:rsid w:val="00E15A76"/>
    <w:rsid w:val="00E16FF1"/>
    <w:rsid w:val="00E1725A"/>
    <w:rsid w:val="00E229E7"/>
    <w:rsid w:val="00E23CEE"/>
    <w:rsid w:val="00E2618B"/>
    <w:rsid w:val="00E27AA3"/>
    <w:rsid w:val="00E32214"/>
    <w:rsid w:val="00E3423B"/>
    <w:rsid w:val="00E35ECB"/>
    <w:rsid w:val="00E37773"/>
    <w:rsid w:val="00E44CAA"/>
    <w:rsid w:val="00E45850"/>
    <w:rsid w:val="00E46E51"/>
    <w:rsid w:val="00E47F82"/>
    <w:rsid w:val="00E5122E"/>
    <w:rsid w:val="00E51FC5"/>
    <w:rsid w:val="00E536C0"/>
    <w:rsid w:val="00E60457"/>
    <w:rsid w:val="00E60C57"/>
    <w:rsid w:val="00E610DE"/>
    <w:rsid w:val="00E638F9"/>
    <w:rsid w:val="00E63F22"/>
    <w:rsid w:val="00E643F6"/>
    <w:rsid w:val="00E64C4E"/>
    <w:rsid w:val="00E67841"/>
    <w:rsid w:val="00E71CBF"/>
    <w:rsid w:val="00E71E1B"/>
    <w:rsid w:val="00E80653"/>
    <w:rsid w:val="00E81624"/>
    <w:rsid w:val="00E85600"/>
    <w:rsid w:val="00E91C06"/>
    <w:rsid w:val="00E92BF4"/>
    <w:rsid w:val="00E96C41"/>
    <w:rsid w:val="00EA13A5"/>
    <w:rsid w:val="00EA2672"/>
    <w:rsid w:val="00EA3878"/>
    <w:rsid w:val="00EA4CC0"/>
    <w:rsid w:val="00EA51DD"/>
    <w:rsid w:val="00EA69C1"/>
    <w:rsid w:val="00EB15FB"/>
    <w:rsid w:val="00EB2279"/>
    <w:rsid w:val="00EB48A4"/>
    <w:rsid w:val="00EC117D"/>
    <w:rsid w:val="00EC164B"/>
    <w:rsid w:val="00EC5074"/>
    <w:rsid w:val="00ED05F2"/>
    <w:rsid w:val="00ED171E"/>
    <w:rsid w:val="00ED183C"/>
    <w:rsid w:val="00ED688C"/>
    <w:rsid w:val="00EE5D86"/>
    <w:rsid w:val="00EF0D75"/>
    <w:rsid w:val="00EF1946"/>
    <w:rsid w:val="00EF4BC6"/>
    <w:rsid w:val="00EF7AFE"/>
    <w:rsid w:val="00F00899"/>
    <w:rsid w:val="00F02993"/>
    <w:rsid w:val="00F06B10"/>
    <w:rsid w:val="00F107B2"/>
    <w:rsid w:val="00F1162A"/>
    <w:rsid w:val="00F22E28"/>
    <w:rsid w:val="00F2482E"/>
    <w:rsid w:val="00F24DFF"/>
    <w:rsid w:val="00F26116"/>
    <w:rsid w:val="00F32DCE"/>
    <w:rsid w:val="00F339B3"/>
    <w:rsid w:val="00F355A5"/>
    <w:rsid w:val="00F3568A"/>
    <w:rsid w:val="00F36940"/>
    <w:rsid w:val="00F45945"/>
    <w:rsid w:val="00F53FB6"/>
    <w:rsid w:val="00F55590"/>
    <w:rsid w:val="00F574A7"/>
    <w:rsid w:val="00F617E3"/>
    <w:rsid w:val="00F61A9C"/>
    <w:rsid w:val="00F62305"/>
    <w:rsid w:val="00F6660C"/>
    <w:rsid w:val="00F6737E"/>
    <w:rsid w:val="00F8057F"/>
    <w:rsid w:val="00F805C4"/>
    <w:rsid w:val="00F8255B"/>
    <w:rsid w:val="00F836FF"/>
    <w:rsid w:val="00F842A3"/>
    <w:rsid w:val="00F85B8A"/>
    <w:rsid w:val="00F91E59"/>
    <w:rsid w:val="00F96156"/>
    <w:rsid w:val="00FA7EF5"/>
    <w:rsid w:val="00FB0F28"/>
    <w:rsid w:val="00FB41B6"/>
    <w:rsid w:val="00FB497D"/>
    <w:rsid w:val="00FB5710"/>
    <w:rsid w:val="00FC4172"/>
    <w:rsid w:val="00FD4177"/>
    <w:rsid w:val="00FE342F"/>
    <w:rsid w:val="00FE4AA9"/>
    <w:rsid w:val="00FE56B8"/>
    <w:rsid w:val="00FE60F3"/>
    <w:rsid w:val="00FE6E3A"/>
    <w:rsid w:val="00FE70E2"/>
    <w:rsid w:val="00FF04E9"/>
    <w:rsid w:val="00FF2B40"/>
    <w:rsid w:val="00FF6523"/>
    <w:rsid w:val="00FF66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39"/>
    <w:pPr>
      <w:spacing w:line="360" w:lineRule="auto"/>
    </w:pPr>
    <w:rPr>
      <w:rFonts w:ascii="Verdana" w:hAnsi="Verdana"/>
      <w:sz w:val="22"/>
      <w:lang w:val="en-GB" w:eastAsia="en-US"/>
    </w:rPr>
  </w:style>
  <w:style w:type="paragraph" w:styleId="Heading1">
    <w:name w:val="heading 1"/>
    <w:basedOn w:val="Normal"/>
    <w:next w:val="Normal"/>
    <w:qFormat/>
    <w:rsid w:val="00850F39"/>
    <w:pPr>
      <w:keepNext/>
      <w:spacing w:before="240" w:after="60"/>
      <w:outlineLvl w:val="0"/>
    </w:pPr>
    <w:rPr>
      <w:color w:val="275D81"/>
      <w:kern w:val="32"/>
      <w:sz w:val="56"/>
      <w:szCs w:val="32"/>
    </w:rPr>
  </w:style>
  <w:style w:type="paragraph" w:styleId="Heading2">
    <w:name w:val="heading 2"/>
    <w:aliases w:val="Heading 1.1"/>
    <w:basedOn w:val="Normal"/>
    <w:next w:val="Normal"/>
    <w:qFormat/>
    <w:rsid w:val="00850F39"/>
    <w:pPr>
      <w:keepNext/>
      <w:spacing w:before="240" w:after="60"/>
      <w:outlineLvl w:val="1"/>
    </w:pPr>
    <w:rPr>
      <w:b/>
      <w:color w:val="631013"/>
      <w:sz w:val="36"/>
      <w:szCs w:val="28"/>
    </w:rPr>
  </w:style>
  <w:style w:type="paragraph" w:styleId="Heading3">
    <w:name w:val="heading 3"/>
    <w:basedOn w:val="Normal"/>
    <w:next w:val="Normal"/>
    <w:qFormat/>
    <w:rsid w:val="00850F39"/>
    <w:pPr>
      <w:keepNext/>
      <w:spacing w:before="240" w:after="60"/>
      <w:outlineLvl w:val="2"/>
    </w:pPr>
    <w:rPr>
      <w:b/>
      <w:color w:val="0F1277"/>
      <w:sz w:val="26"/>
      <w:szCs w:val="26"/>
    </w:rPr>
  </w:style>
  <w:style w:type="paragraph" w:styleId="Heading4">
    <w:name w:val="heading 4"/>
    <w:basedOn w:val="Normal"/>
    <w:next w:val="Normal"/>
    <w:qFormat/>
    <w:rsid w:val="00850F39"/>
    <w:pPr>
      <w:keepNext/>
      <w:spacing w:line="240" w:lineRule="auto"/>
      <w:outlineLvl w:val="3"/>
    </w:pPr>
    <w:rPr>
      <w:rFonts w:ascii="Times New Roman" w:hAnsi="Times New Roman"/>
      <w:b/>
      <w:bCs/>
      <w:sz w:val="24"/>
      <w:szCs w:val="24"/>
      <w:lang w:val="en-IE"/>
    </w:rPr>
  </w:style>
  <w:style w:type="paragraph" w:styleId="Heading5">
    <w:name w:val="heading 5"/>
    <w:basedOn w:val="Normal"/>
    <w:next w:val="Normal"/>
    <w:qFormat/>
    <w:rsid w:val="00850F39"/>
    <w:pPr>
      <w:keepNext/>
      <w:spacing w:line="240" w:lineRule="auto"/>
      <w:outlineLvl w:val="4"/>
    </w:pPr>
    <w:rPr>
      <w:rFonts w:ascii="Times New Roman" w:hAnsi="Times New Roman"/>
      <w:b/>
      <w:bCs/>
      <w:i/>
      <w:iCs/>
      <w:szCs w:val="24"/>
      <w:lang w:val="en-IE"/>
    </w:rPr>
  </w:style>
  <w:style w:type="paragraph" w:styleId="Heading6">
    <w:name w:val="heading 6"/>
    <w:basedOn w:val="Normal"/>
    <w:next w:val="Normal"/>
    <w:qFormat/>
    <w:rsid w:val="00850F39"/>
    <w:pPr>
      <w:keepNext/>
      <w:spacing w:line="240" w:lineRule="auto"/>
      <w:outlineLvl w:val="5"/>
    </w:pPr>
    <w:rPr>
      <w:rFonts w:ascii="Times New Roman" w:hAnsi="Times New Roman"/>
      <w:b/>
      <w:bCs/>
      <w:szCs w:val="24"/>
      <w:u w:val="single"/>
      <w:lang w:val="en-IE"/>
    </w:rPr>
  </w:style>
  <w:style w:type="paragraph" w:styleId="Heading7">
    <w:name w:val="heading 7"/>
    <w:basedOn w:val="Normal"/>
    <w:next w:val="Normal"/>
    <w:qFormat/>
    <w:rsid w:val="00850F39"/>
    <w:pPr>
      <w:keepNext/>
      <w:spacing w:line="240" w:lineRule="auto"/>
      <w:ind w:left="113" w:right="113"/>
      <w:outlineLvl w:val="6"/>
    </w:pPr>
    <w:rPr>
      <w:rFonts w:ascii="Times New Roman" w:hAnsi="Times New Roman"/>
      <w:b/>
      <w:bCs/>
      <w:szCs w:val="24"/>
      <w:lang w:val="en-IE"/>
    </w:rPr>
  </w:style>
  <w:style w:type="paragraph" w:styleId="Heading8">
    <w:name w:val="heading 8"/>
    <w:basedOn w:val="Normal"/>
    <w:next w:val="Normal"/>
    <w:qFormat/>
    <w:rsid w:val="00850F39"/>
    <w:pPr>
      <w:keepNext/>
      <w:spacing w:line="240" w:lineRule="auto"/>
      <w:outlineLvl w:val="7"/>
    </w:pPr>
    <w:rPr>
      <w:rFonts w:ascii="Times New Roman" w:hAnsi="Times New Roman"/>
      <w:b/>
      <w:bCs/>
      <w:sz w:val="16"/>
      <w:szCs w:val="24"/>
      <w:lang w:val="en-IE"/>
    </w:rPr>
  </w:style>
  <w:style w:type="paragraph" w:styleId="Heading9">
    <w:name w:val="heading 9"/>
    <w:basedOn w:val="Normal"/>
    <w:next w:val="Normal"/>
    <w:qFormat/>
    <w:rsid w:val="00850F39"/>
    <w:pPr>
      <w:keepNext/>
      <w:spacing w:line="240" w:lineRule="auto"/>
      <w:outlineLvl w:val="8"/>
    </w:pPr>
    <w:rPr>
      <w:rFonts w:ascii="Times New Roman" w:hAnsi="Times New Roman"/>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F39"/>
    <w:pPr>
      <w:tabs>
        <w:tab w:val="center" w:pos="4320"/>
        <w:tab w:val="right" w:pos="8640"/>
      </w:tabs>
    </w:pPr>
  </w:style>
  <w:style w:type="paragraph" w:styleId="Footer">
    <w:name w:val="footer"/>
    <w:basedOn w:val="Normal"/>
    <w:semiHidden/>
    <w:rsid w:val="00850F39"/>
    <w:pPr>
      <w:tabs>
        <w:tab w:val="center" w:pos="4320"/>
        <w:tab w:val="right" w:pos="8640"/>
      </w:tabs>
    </w:pPr>
  </w:style>
  <w:style w:type="character" w:styleId="PageNumber">
    <w:name w:val="page number"/>
    <w:basedOn w:val="DefaultParagraphFont"/>
    <w:semiHidden/>
    <w:rsid w:val="00850F39"/>
  </w:style>
  <w:style w:type="paragraph" w:customStyle="1" w:styleId="BodyText1">
    <w:name w:val="Body Text1"/>
    <w:basedOn w:val="Normal"/>
    <w:rsid w:val="00850F39"/>
  </w:style>
  <w:style w:type="paragraph" w:styleId="TOC2">
    <w:name w:val="toc 2"/>
    <w:basedOn w:val="Normal"/>
    <w:next w:val="Normal"/>
    <w:autoRedefine/>
    <w:semiHidden/>
    <w:rsid w:val="00850F39"/>
    <w:pPr>
      <w:ind w:left="220"/>
    </w:pPr>
  </w:style>
  <w:style w:type="paragraph" w:styleId="TOC1">
    <w:name w:val="toc 1"/>
    <w:basedOn w:val="Normal"/>
    <w:next w:val="Normal"/>
    <w:autoRedefine/>
    <w:semiHidden/>
    <w:rsid w:val="00850F39"/>
  </w:style>
  <w:style w:type="paragraph" w:styleId="TOC3">
    <w:name w:val="toc 3"/>
    <w:basedOn w:val="Normal"/>
    <w:next w:val="Normal"/>
    <w:autoRedefine/>
    <w:semiHidden/>
    <w:rsid w:val="00850F39"/>
    <w:pPr>
      <w:ind w:left="440"/>
    </w:pPr>
  </w:style>
  <w:style w:type="paragraph" w:styleId="TOC4">
    <w:name w:val="toc 4"/>
    <w:basedOn w:val="Normal"/>
    <w:next w:val="Normal"/>
    <w:autoRedefine/>
    <w:semiHidden/>
    <w:rsid w:val="00850F39"/>
    <w:pPr>
      <w:ind w:left="660"/>
    </w:pPr>
  </w:style>
  <w:style w:type="paragraph" w:styleId="TOC5">
    <w:name w:val="toc 5"/>
    <w:basedOn w:val="Normal"/>
    <w:next w:val="Normal"/>
    <w:autoRedefine/>
    <w:semiHidden/>
    <w:rsid w:val="00850F39"/>
    <w:pPr>
      <w:ind w:left="880"/>
    </w:pPr>
  </w:style>
  <w:style w:type="paragraph" w:styleId="TOC6">
    <w:name w:val="toc 6"/>
    <w:basedOn w:val="Normal"/>
    <w:next w:val="Normal"/>
    <w:autoRedefine/>
    <w:semiHidden/>
    <w:rsid w:val="00850F39"/>
    <w:pPr>
      <w:ind w:left="1100"/>
    </w:pPr>
  </w:style>
  <w:style w:type="paragraph" w:styleId="TOC7">
    <w:name w:val="toc 7"/>
    <w:basedOn w:val="Normal"/>
    <w:next w:val="Normal"/>
    <w:autoRedefine/>
    <w:semiHidden/>
    <w:rsid w:val="00850F39"/>
    <w:pPr>
      <w:ind w:left="1320"/>
    </w:pPr>
  </w:style>
  <w:style w:type="paragraph" w:styleId="TOC8">
    <w:name w:val="toc 8"/>
    <w:basedOn w:val="Normal"/>
    <w:next w:val="Normal"/>
    <w:autoRedefine/>
    <w:semiHidden/>
    <w:rsid w:val="00850F39"/>
    <w:pPr>
      <w:ind w:left="1540"/>
    </w:pPr>
  </w:style>
  <w:style w:type="paragraph" w:styleId="TOC9">
    <w:name w:val="toc 9"/>
    <w:basedOn w:val="Normal"/>
    <w:next w:val="Normal"/>
    <w:autoRedefine/>
    <w:semiHidden/>
    <w:rsid w:val="00850F39"/>
    <w:pPr>
      <w:ind w:left="1760"/>
    </w:pPr>
  </w:style>
  <w:style w:type="paragraph" w:styleId="ListBullet">
    <w:name w:val="List Bullet"/>
    <w:basedOn w:val="Normal"/>
    <w:autoRedefine/>
    <w:semiHidden/>
    <w:rsid w:val="00850F39"/>
    <w:pPr>
      <w:numPr>
        <w:numId w:val="1"/>
      </w:numPr>
      <w:spacing w:line="240" w:lineRule="auto"/>
    </w:pPr>
    <w:rPr>
      <w:rFonts w:ascii="Times New Roman" w:hAnsi="Times New Roman"/>
      <w:sz w:val="24"/>
    </w:rPr>
  </w:style>
  <w:style w:type="paragraph" w:styleId="BlockText">
    <w:name w:val="Block Text"/>
    <w:basedOn w:val="Normal"/>
    <w:semiHidden/>
    <w:rsid w:val="00850F39"/>
    <w:pPr>
      <w:spacing w:line="240" w:lineRule="auto"/>
      <w:ind w:left="113" w:right="113"/>
    </w:pPr>
    <w:rPr>
      <w:rFonts w:ascii="Times New Roman" w:hAnsi="Times New Roman"/>
      <w:b/>
      <w:bCs/>
      <w:szCs w:val="24"/>
      <w:lang w:val="en-IE"/>
    </w:rPr>
  </w:style>
  <w:style w:type="paragraph" w:styleId="BodyTextIndent">
    <w:name w:val="Body Text Indent"/>
    <w:basedOn w:val="Normal"/>
    <w:semiHidden/>
    <w:rsid w:val="00850F39"/>
    <w:pPr>
      <w:spacing w:line="240" w:lineRule="auto"/>
      <w:ind w:left="-684"/>
    </w:pPr>
    <w:rPr>
      <w:rFonts w:ascii="Times New Roman" w:hAnsi="Times New Roman"/>
      <w:b/>
      <w:bCs/>
      <w:sz w:val="24"/>
      <w:lang w:val="en-IE"/>
    </w:rPr>
  </w:style>
  <w:style w:type="paragraph" w:styleId="BodyText3">
    <w:name w:val="Body Text 3"/>
    <w:basedOn w:val="Normal"/>
    <w:semiHidden/>
    <w:rsid w:val="00850F39"/>
    <w:pPr>
      <w:spacing w:line="240" w:lineRule="auto"/>
      <w:jc w:val="both"/>
    </w:pPr>
    <w:rPr>
      <w:rFonts w:ascii="Times New Roman" w:hAnsi="Times New Roman"/>
      <w:szCs w:val="24"/>
      <w:lang w:val="en-IE"/>
    </w:rPr>
  </w:style>
  <w:style w:type="paragraph" w:styleId="Caption">
    <w:name w:val="caption"/>
    <w:basedOn w:val="Normal"/>
    <w:next w:val="Normal"/>
    <w:qFormat/>
    <w:rsid w:val="00850F39"/>
    <w:pPr>
      <w:spacing w:line="240" w:lineRule="auto"/>
      <w:ind w:left="-720"/>
    </w:pPr>
    <w:rPr>
      <w:rFonts w:ascii="Times New Roman" w:hAnsi="Times New Roman"/>
      <w:b/>
      <w:bCs/>
      <w:szCs w:val="24"/>
      <w:lang w:val="en-IE"/>
    </w:rPr>
  </w:style>
  <w:style w:type="paragraph" w:styleId="BalloonText">
    <w:name w:val="Balloon Text"/>
    <w:basedOn w:val="Normal"/>
    <w:link w:val="BalloonTextChar"/>
    <w:uiPriority w:val="99"/>
    <w:semiHidden/>
    <w:unhideWhenUsed/>
    <w:rsid w:val="00F369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36940"/>
    <w:rPr>
      <w:rFonts w:ascii="Tahoma" w:hAnsi="Tahoma" w:cs="Tahoma"/>
      <w:sz w:val="16"/>
      <w:szCs w:val="16"/>
      <w:lang w:val="en-GB" w:eastAsia="en-US"/>
    </w:rPr>
  </w:style>
  <w:style w:type="character" w:customStyle="1" w:styleId="HeaderChar">
    <w:name w:val="Header Char"/>
    <w:link w:val="Header"/>
    <w:uiPriority w:val="99"/>
    <w:rsid w:val="00F36940"/>
    <w:rPr>
      <w:rFonts w:ascii="Verdana" w:hAnsi="Verdana"/>
      <w:sz w:val="22"/>
      <w:lang w:val="en-GB" w:eastAsia="en-US"/>
    </w:rPr>
  </w:style>
  <w:style w:type="paragraph" w:customStyle="1" w:styleId="Noparagraphstyle">
    <w:name w:val="[No paragraph style]"/>
    <w:uiPriority w:val="99"/>
    <w:rsid w:val="00F36940"/>
    <w:pPr>
      <w:widowControl w:val="0"/>
      <w:autoSpaceDE w:val="0"/>
      <w:autoSpaceDN w:val="0"/>
      <w:adjustRightInd w:val="0"/>
      <w:spacing w:line="288" w:lineRule="auto"/>
      <w:textAlignment w:val="center"/>
    </w:pPr>
    <w:rPr>
      <w:rFonts w:ascii="Times-Roman" w:hAnsi="Times-Roman" w:cs="Times-Roman"/>
      <w:color w:val="000000"/>
      <w:sz w:val="24"/>
      <w:szCs w:val="24"/>
      <w:lang w:val="en-GB" w:eastAsia="en-US"/>
    </w:rPr>
  </w:style>
  <w:style w:type="character" w:customStyle="1" w:styleId="HelvBold">
    <w:name w:val="Helv Bold"/>
    <w:uiPriority w:val="99"/>
    <w:rsid w:val="00F36940"/>
    <w:rPr>
      <w:rFonts w:ascii="HelveticaNeueLTStd-Bd" w:hAnsi="HelveticaNeueLTStd-Bd"/>
      <w:b/>
    </w:rPr>
  </w:style>
  <w:style w:type="paragraph" w:styleId="FootnoteText">
    <w:name w:val="footnote text"/>
    <w:basedOn w:val="Normal"/>
    <w:link w:val="FootnoteTextChar"/>
    <w:uiPriority w:val="99"/>
    <w:semiHidden/>
    <w:unhideWhenUsed/>
    <w:rsid w:val="00733BAF"/>
    <w:rPr>
      <w:sz w:val="20"/>
    </w:rPr>
  </w:style>
  <w:style w:type="character" w:customStyle="1" w:styleId="FootnoteTextChar">
    <w:name w:val="Footnote Text Char"/>
    <w:link w:val="FootnoteText"/>
    <w:uiPriority w:val="99"/>
    <w:semiHidden/>
    <w:rsid w:val="00733BAF"/>
    <w:rPr>
      <w:rFonts w:ascii="Verdana" w:hAnsi="Verdana"/>
      <w:lang w:val="en-GB" w:eastAsia="en-US"/>
    </w:rPr>
  </w:style>
  <w:style w:type="character" w:styleId="FootnoteReference">
    <w:name w:val="footnote reference"/>
    <w:uiPriority w:val="99"/>
    <w:semiHidden/>
    <w:unhideWhenUsed/>
    <w:rsid w:val="00733BAF"/>
    <w:rPr>
      <w:vertAlign w:val="superscript"/>
    </w:rPr>
  </w:style>
  <w:style w:type="paragraph" w:customStyle="1" w:styleId="Default">
    <w:name w:val="Default"/>
    <w:rsid w:val="007B0E6F"/>
    <w:pPr>
      <w:autoSpaceDE w:val="0"/>
      <w:autoSpaceDN w:val="0"/>
      <w:adjustRightInd w:val="0"/>
    </w:pPr>
    <w:rPr>
      <w:color w:val="000000"/>
      <w:sz w:val="24"/>
      <w:szCs w:val="24"/>
    </w:rPr>
  </w:style>
  <w:style w:type="character" w:styleId="CommentReference">
    <w:name w:val="annotation reference"/>
    <w:uiPriority w:val="99"/>
    <w:semiHidden/>
    <w:unhideWhenUsed/>
    <w:rsid w:val="00A06419"/>
    <w:rPr>
      <w:sz w:val="16"/>
      <w:szCs w:val="16"/>
    </w:rPr>
  </w:style>
  <w:style w:type="paragraph" w:styleId="CommentText">
    <w:name w:val="annotation text"/>
    <w:basedOn w:val="Normal"/>
    <w:link w:val="CommentTextChar"/>
    <w:uiPriority w:val="99"/>
    <w:semiHidden/>
    <w:unhideWhenUsed/>
    <w:rsid w:val="00A06419"/>
    <w:rPr>
      <w:sz w:val="20"/>
    </w:rPr>
  </w:style>
  <w:style w:type="character" w:customStyle="1" w:styleId="CommentTextChar">
    <w:name w:val="Comment Text Char"/>
    <w:link w:val="CommentText"/>
    <w:uiPriority w:val="99"/>
    <w:semiHidden/>
    <w:rsid w:val="00A06419"/>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A06419"/>
    <w:rPr>
      <w:b/>
      <w:bCs/>
    </w:rPr>
  </w:style>
  <w:style w:type="character" w:customStyle="1" w:styleId="CommentSubjectChar">
    <w:name w:val="Comment Subject Char"/>
    <w:link w:val="CommentSubject"/>
    <w:uiPriority w:val="99"/>
    <w:semiHidden/>
    <w:rsid w:val="00A06419"/>
    <w:rPr>
      <w:rFonts w:ascii="Verdana" w:hAnsi="Verdana"/>
      <w:b/>
      <w:bCs/>
      <w:lang w:val="en-GB" w:eastAsia="en-US"/>
    </w:rPr>
  </w:style>
  <w:style w:type="paragraph" w:customStyle="1" w:styleId="CBCoverSubtitleLightWhite">
    <w:name w:val="CB_Cover Subtitle_Light_White"/>
    <w:basedOn w:val="Normal"/>
    <w:qFormat/>
    <w:rsid w:val="004C38E9"/>
    <w:pPr>
      <w:spacing w:after="160" w:line="580" w:lineRule="exact"/>
    </w:pPr>
    <w:rPr>
      <w:rFonts w:ascii="Lato Light" w:eastAsia="Lato" w:hAnsi="Lato Light"/>
      <w:color w:val="FFFFFF"/>
      <w:sz w:val="54"/>
      <w:szCs w:val="54"/>
      <w:lang w:val="en-IE"/>
    </w:rPr>
  </w:style>
  <w:style w:type="character" w:styleId="Hyperlink">
    <w:name w:val="Hyperlink"/>
    <w:uiPriority w:val="99"/>
    <w:semiHidden/>
    <w:unhideWhenUsed/>
    <w:rsid w:val="00174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dataprotection@centralbank.ie"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entralbank.ie/fn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55FB-92F5-4411-BD9A-B23B23EB53E1}">
  <ds:schemaRefs>
    <ds:schemaRef ds:uri="http://schemas.microsoft.com/office/2006/metadata/longProperties"/>
  </ds:schemaRefs>
</ds:datastoreItem>
</file>

<file path=customXml/itemProps2.xml><?xml version="1.0" encoding="utf-8"?>
<ds:datastoreItem xmlns:ds="http://schemas.openxmlformats.org/officeDocument/2006/customXml" ds:itemID="{3FF54843-099E-48AB-8EC4-6942D3E5413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E51A054-492B-4AEC-9EE2-B1EBBB51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11651</Words>
  <Characters>74388</Characters>
  <Application>Microsoft Office Word</Application>
  <DocSecurity>4</DocSecurity>
  <Lines>619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85868</CharactersWithSpaces>
  <SharedDoc>false</SharedDoc>
  <HLinks>
    <vt:vector size="12" baseType="variant">
      <vt:variant>
        <vt:i4>8126561</vt:i4>
      </vt:variant>
      <vt:variant>
        <vt:i4>3</vt:i4>
      </vt:variant>
      <vt:variant>
        <vt:i4>0</vt:i4>
      </vt:variant>
      <vt:variant>
        <vt:i4>5</vt:i4>
      </vt:variant>
      <vt:variant>
        <vt:lpwstr>http://www.centralbank.ie/fns/privacy-statement</vt:lpwstr>
      </vt:variant>
      <vt:variant>
        <vt:lpwstr/>
      </vt:variant>
      <vt:variant>
        <vt:i4>6553688</vt:i4>
      </vt:variant>
      <vt:variant>
        <vt:i4>0</vt:i4>
      </vt:variant>
      <vt:variant>
        <vt:i4>0</vt:i4>
      </vt:variant>
      <vt:variant>
        <vt:i4>5</vt:i4>
      </vt:variant>
      <vt:variant>
        <vt:lpwstr>mailto:dataprotection@centralbank.ie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cp:lastModifiedBy/>
  <cp:revision>1</cp:revision>
  <dcterms:created xsi:type="dcterms:W3CDTF">2022-09-07T14:38:00Z</dcterms:created>
  <dcterms:modified xsi:type="dcterms:W3CDTF">2022-09-07T14:38:00Z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7578c9f8-5d57-448a-8dcf-eed876d86955</vt:lpwstr>
  </property>
  <property fmtid="{D5CDD505-2E9C-101B-9397-08002B2CF9AE}" pid="3" name="bjSaver">
    <vt:lpwstr>nvGX0E4X6scdTxTFXGHNS7cIwW6+9niL</vt:lpwstr>
  </property>
  <property fmtid="{D5CDD505-2E9C-101B-9397-08002B2CF9AE}" pid="4" name="bjDocumentSecurityLabel">
    <vt:lpwstr>Public</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ies>
</file>