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44" w:type="dxa"/>
        <w:tblLook w:val="04A0" w:firstRow="1" w:lastRow="0" w:firstColumn="1" w:lastColumn="0" w:noHBand="0" w:noVBand="1"/>
      </w:tblPr>
      <w:tblGrid>
        <w:gridCol w:w="3219"/>
        <w:gridCol w:w="3212"/>
        <w:gridCol w:w="3213"/>
      </w:tblGrid>
      <w:tr w:rsidR="00BD61FD" w14:paraId="2931DF89" w14:textId="66C09969" w:rsidTr="00EE0A7F">
        <w:trPr>
          <w:trHeight w:val="815"/>
        </w:trPr>
        <w:tc>
          <w:tcPr>
            <w:tcW w:w="3219" w:type="dxa"/>
            <w:shd w:val="clear" w:color="auto" w:fill="0F243E" w:themeFill="text2" w:themeFillShade="80"/>
          </w:tcPr>
          <w:p w14:paraId="567A746E" w14:textId="77777777" w:rsidR="00BD61FD" w:rsidRDefault="00BD61FD" w:rsidP="006C62F4">
            <w:bookmarkStart w:id="0" w:name="_GoBack"/>
            <w:bookmarkEnd w:id="0"/>
            <w:r>
              <w:t>AIF:</w:t>
            </w:r>
          </w:p>
        </w:tc>
        <w:tc>
          <w:tcPr>
            <w:tcW w:w="3212" w:type="dxa"/>
            <w:shd w:val="clear" w:color="auto" w:fill="0F243E" w:themeFill="text2" w:themeFillShade="80"/>
          </w:tcPr>
          <w:p w14:paraId="32D17994" w14:textId="77777777" w:rsidR="00BD61FD" w:rsidRDefault="00BD61FD" w:rsidP="006C62F4"/>
        </w:tc>
        <w:tc>
          <w:tcPr>
            <w:tcW w:w="3213" w:type="dxa"/>
            <w:shd w:val="clear" w:color="auto" w:fill="0F243E" w:themeFill="text2" w:themeFillShade="80"/>
          </w:tcPr>
          <w:p w14:paraId="05CA3E3E" w14:textId="77777777" w:rsidR="00BD61FD" w:rsidRDefault="00BD61FD" w:rsidP="006C62F4"/>
        </w:tc>
      </w:tr>
      <w:tr w:rsidR="006F5BCF" w14:paraId="2997B408" w14:textId="720576A1" w:rsidTr="00EE0A7F">
        <w:trPr>
          <w:trHeight w:val="815"/>
        </w:trPr>
        <w:tc>
          <w:tcPr>
            <w:tcW w:w="3219" w:type="dxa"/>
            <w:shd w:val="clear" w:color="auto" w:fill="C6D9F1" w:themeFill="text2" w:themeFillTint="33"/>
          </w:tcPr>
          <w:p w14:paraId="79594A28" w14:textId="5E8A5437" w:rsidR="006F5BCF" w:rsidRDefault="006F5BCF" w:rsidP="006C62F4">
            <w:r>
              <w:t>Domicile (and if regulated)</w:t>
            </w:r>
          </w:p>
        </w:tc>
        <w:tc>
          <w:tcPr>
            <w:tcW w:w="6425" w:type="dxa"/>
            <w:gridSpan w:val="2"/>
            <w:shd w:val="clear" w:color="auto" w:fill="C6D9F1" w:themeFill="text2" w:themeFillTint="33"/>
          </w:tcPr>
          <w:p w14:paraId="56A50043" w14:textId="77777777" w:rsidR="006F5BCF" w:rsidRDefault="006F5BCF" w:rsidP="006C62F4"/>
        </w:tc>
      </w:tr>
      <w:tr w:rsidR="006F5BCF" w14:paraId="62A64FA5" w14:textId="77777777" w:rsidTr="00EE0A7F">
        <w:trPr>
          <w:trHeight w:val="815"/>
        </w:trPr>
        <w:tc>
          <w:tcPr>
            <w:tcW w:w="3219" w:type="dxa"/>
            <w:shd w:val="clear" w:color="auto" w:fill="auto"/>
          </w:tcPr>
          <w:p w14:paraId="23716F23" w14:textId="34424934" w:rsidR="006F5BCF" w:rsidRDefault="006F5BCF" w:rsidP="006C62F4">
            <w:r>
              <w:t>Investment Strategy</w:t>
            </w:r>
          </w:p>
        </w:tc>
        <w:tc>
          <w:tcPr>
            <w:tcW w:w="6425" w:type="dxa"/>
            <w:gridSpan w:val="2"/>
            <w:shd w:val="clear" w:color="auto" w:fill="auto"/>
          </w:tcPr>
          <w:p w14:paraId="7FBBCCA2" w14:textId="13EBEA2E" w:rsidR="006F5BCF" w:rsidRDefault="006F5BCF" w:rsidP="006C62F4"/>
        </w:tc>
      </w:tr>
      <w:tr w:rsidR="006F5BCF" w14:paraId="5AAB0178" w14:textId="77777777" w:rsidTr="00EE0A7F">
        <w:trPr>
          <w:trHeight w:val="815"/>
        </w:trPr>
        <w:tc>
          <w:tcPr>
            <w:tcW w:w="3219" w:type="dxa"/>
            <w:shd w:val="clear" w:color="auto" w:fill="C6D9F1" w:themeFill="text2" w:themeFillTint="33"/>
          </w:tcPr>
          <w:p w14:paraId="05FF3429" w14:textId="5FE1B2F9" w:rsidR="006F5BCF" w:rsidRDefault="006F5BCF" w:rsidP="006C62F4">
            <w:r>
              <w:t>Legal Structure of AIF</w:t>
            </w:r>
          </w:p>
        </w:tc>
        <w:tc>
          <w:tcPr>
            <w:tcW w:w="6425" w:type="dxa"/>
            <w:gridSpan w:val="2"/>
            <w:shd w:val="clear" w:color="auto" w:fill="C6D9F1" w:themeFill="text2" w:themeFillTint="33"/>
          </w:tcPr>
          <w:p w14:paraId="29EF415B" w14:textId="77777777" w:rsidR="006F5BCF" w:rsidRDefault="006F5BCF" w:rsidP="006C62F4"/>
        </w:tc>
      </w:tr>
      <w:tr w:rsidR="006F5BCF" w14:paraId="7151C13E" w14:textId="77777777" w:rsidTr="00EE0A7F">
        <w:trPr>
          <w:trHeight w:val="815"/>
        </w:trPr>
        <w:tc>
          <w:tcPr>
            <w:tcW w:w="3219" w:type="dxa"/>
            <w:shd w:val="clear" w:color="auto" w:fill="auto"/>
          </w:tcPr>
          <w:p w14:paraId="55619E2E" w14:textId="71FD8204" w:rsidR="006F5BCF" w:rsidRDefault="006F5BCF" w:rsidP="006F5BCF">
            <w:r>
              <w:t>Umbrella or Standalone</w:t>
            </w:r>
          </w:p>
        </w:tc>
        <w:tc>
          <w:tcPr>
            <w:tcW w:w="6425" w:type="dxa"/>
            <w:gridSpan w:val="2"/>
            <w:shd w:val="clear" w:color="auto" w:fill="auto"/>
          </w:tcPr>
          <w:p w14:paraId="5F9BA690" w14:textId="77777777" w:rsidR="006F5BCF" w:rsidRDefault="006F5BCF" w:rsidP="006C62F4"/>
        </w:tc>
      </w:tr>
      <w:tr w:rsidR="006F5BCF" w14:paraId="1BD6E2F9" w14:textId="77777777" w:rsidTr="00EE0A7F">
        <w:trPr>
          <w:trHeight w:val="815"/>
        </w:trPr>
        <w:tc>
          <w:tcPr>
            <w:tcW w:w="3219" w:type="dxa"/>
            <w:shd w:val="clear" w:color="auto" w:fill="C6D9F1" w:themeFill="text2" w:themeFillTint="33"/>
          </w:tcPr>
          <w:p w14:paraId="4DCA9187" w14:textId="0750CC25" w:rsidR="006F5BCF" w:rsidRDefault="006F5BCF" w:rsidP="006F5BCF">
            <w:r>
              <w:t>If Umbrella, list all sub-funds</w:t>
            </w:r>
          </w:p>
        </w:tc>
        <w:tc>
          <w:tcPr>
            <w:tcW w:w="6425" w:type="dxa"/>
            <w:gridSpan w:val="2"/>
            <w:shd w:val="clear" w:color="auto" w:fill="C6D9F1" w:themeFill="text2" w:themeFillTint="33"/>
          </w:tcPr>
          <w:p w14:paraId="2D471AAB" w14:textId="77777777" w:rsidR="006F5BCF" w:rsidRDefault="006F5BCF" w:rsidP="006C62F4"/>
        </w:tc>
      </w:tr>
      <w:tr w:rsidR="006F5BCF" w14:paraId="7599218B" w14:textId="6B861150" w:rsidTr="00EE0A7F">
        <w:trPr>
          <w:trHeight w:val="815"/>
        </w:trPr>
        <w:tc>
          <w:tcPr>
            <w:tcW w:w="3219" w:type="dxa"/>
          </w:tcPr>
          <w:p w14:paraId="3BE25B04" w14:textId="55BD068F" w:rsidR="006F5BCF" w:rsidRDefault="006F5BCF" w:rsidP="00BD61FD">
            <w:r>
              <w:t>Delegate Investment Manager*</w:t>
            </w:r>
          </w:p>
        </w:tc>
        <w:tc>
          <w:tcPr>
            <w:tcW w:w="6425" w:type="dxa"/>
            <w:gridSpan w:val="2"/>
          </w:tcPr>
          <w:p w14:paraId="11531EF4" w14:textId="77777777" w:rsidR="006F5BCF" w:rsidRDefault="006F5BCF" w:rsidP="006C62F4"/>
        </w:tc>
      </w:tr>
      <w:tr w:rsidR="006F5BCF" w14:paraId="240E18B9" w14:textId="39DAE050" w:rsidTr="00EE0A7F">
        <w:trPr>
          <w:trHeight w:val="815"/>
        </w:trPr>
        <w:tc>
          <w:tcPr>
            <w:tcW w:w="3219" w:type="dxa"/>
            <w:shd w:val="clear" w:color="auto" w:fill="C6D9F1" w:themeFill="text2" w:themeFillTint="33"/>
          </w:tcPr>
          <w:p w14:paraId="0EA8CC9B" w14:textId="4FB17197" w:rsidR="006F5BCF" w:rsidRDefault="006F5BCF" w:rsidP="006C62F4">
            <w:r>
              <w:t>Administrator*</w:t>
            </w:r>
          </w:p>
        </w:tc>
        <w:tc>
          <w:tcPr>
            <w:tcW w:w="6425" w:type="dxa"/>
            <w:gridSpan w:val="2"/>
            <w:shd w:val="clear" w:color="auto" w:fill="C6D9F1" w:themeFill="text2" w:themeFillTint="33"/>
          </w:tcPr>
          <w:p w14:paraId="1CDC237F" w14:textId="77777777" w:rsidR="006F5BCF" w:rsidRDefault="006F5BCF" w:rsidP="006C62F4"/>
        </w:tc>
      </w:tr>
      <w:tr w:rsidR="006F5BCF" w14:paraId="0C53713C" w14:textId="2F8EA199" w:rsidTr="00EE0A7F">
        <w:trPr>
          <w:trHeight w:val="815"/>
        </w:trPr>
        <w:tc>
          <w:tcPr>
            <w:tcW w:w="3219" w:type="dxa"/>
          </w:tcPr>
          <w:p w14:paraId="4BD74859" w14:textId="68A91106" w:rsidR="006F5BCF" w:rsidRDefault="006F5BCF" w:rsidP="006C62F4">
            <w:r>
              <w:t>Depository*</w:t>
            </w:r>
          </w:p>
        </w:tc>
        <w:tc>
          <w:tcPr>
            <w:tcW w:w="6425" w:type="dxa"/>
            <w:gridSpan w:val="2"/>
          </w:tcPr>
          <w:p w14:paraId="0DDA2DCC" w14:textId="77777777" w:rsidR="006F5BCF" w:rsidRDefault="006F5BCF" w:rsidP="006C62F4"/>
        </w:tc>
      </w:tr>
      <w:tr w:rsidR="006F5BCF" w14:paraId="554CF77A" w14:textId="77777777" w:rsidTr="00EE0A7F">
        <w:trPr>
          <w:trHeight w:val="815"/>
        </w:trPr>
        <w:tc>
          <w:tcPr>
            <w:tcW w:w="3219" w:type="dxa"/>
            <w:shd w:val="clear" w:color="auto" w:fill="B8CCE4" w:themeFill="accent1" w:themeFillTint="66"/>
          </w:tcPr>
          <w:p w14:paraId="249838C5" w14:textId="44751FD9" w:rsidR="006F5BCF" w:rsidRDefault="006F5BCF" w:rsidP="006C62F4">
            <w:r>
              <w:t>Independent Valuation Agent*</w:t>
            </w:r>
          </w:p>
        </w:tc>
        <w:tc>
          <w:tcPr>
            <w:tcW w:w="6425" w:type="dxa"/>
            <w:gridSpan w:val="2"/>
            <w:shd w:val="clear" w:color="auto" w:fill="B8CCE4" w:themeFill="accent1" w:themeFillTint="66"/>
          </w:tcPr>
          <w:p w14:paraId="22BA048A" w14:textId="77777777" w:rsidR="006F5BCF" w:rsidRDefault="006F5BCF" w:rsidP="006C62F4"/>
        </w:tc>
      </w:tr>
      <w:tr w:rsidR="006F5BCF" w14:paraId="087BA504" w14:textId="77777777" w:rsidTr="00EE0A7F">
        <w:trPr>
          <w:trHeight w:val="815"/>
        </w:trPr>
        <w:tc>
          <w:tcPr>
            <w:tcW w:w="3219" w:type="dxa"/>
          </w:tcPr>
          <w:p w14:paraId="260488D3" w14:textId="5C53A4F7" w:rsidR="006F5BCF" w:rsidRDefault="006F5BCF" w:rsidP="006C62F4">
            <w:r>
              <w:t>Independent Transfer Agent*</w:t>
            </w:r>
          </w:p>
        </w:tc>
        <w:tc>
          <w:tcPr>
            <w:tcW w:w="6425" w:type="dxa"/>
            <w:gridSpan w:val="2"/>
          </w:tcPr>
          <w:p w14:paraId="3A707D17" w14:textId="77777777" w:rsidR="006F5BCF" w:rsidRDefault="006F5BCF" w:rsidP="006C62F4"/>
        </w:tc>
      </w:tr>
      <w:tr w:rsidR="006F5BCF" w14:paraId="0E8FD68F" w14:textId="31E2547A" w:rsidTr="00EE0A7F">
        <w:trPr>
          <w:trHeight w:val="815"/>
        </w:trPr>
        <w:tc>
          <w:tcPr>
            <w:tcW w:w="3219" w:type="dxa"/>
            <w:shd w:val="clear" w:color="auto" w:fill="B8CCE4" w:themeFill="accent1" w:themeFillTint="66"/>
          </w:tcPr>
          <w:p w14:paraId="782BCB88" w14:textId="6143A052" w:rsidR="006F5BCF" w:rsidRDefault="006F5BCF" w:rsidP="006C62F4">
            <w:r>
              <w:t>Prime Broker*</w:t>
            </w:r>
          </w:p>
        </w:tc>
        <w:tc>
          <w:tcPr>
            <w:tcW w:w="6425" w:type="dxa"/>
            <w:gridSpan w:val="2"/>
            <w:shd w:val="clear" w:color="auto" w:fill="B8CCE4" w:themeFill="accent1" w:themeFillTint="66"/>
          </w:tcPr>
          <w:p w14:paraId="52CF8D95" w14:textId="77777777" w:rsidR="006F5BCF" w:rsidRDefault="006F5BCF" w:rsidP="006C62F4"/>
        </w:tc>
      </w:tr>
      <w:tr w:rsidR="00CA64AA" w14:paraId="0BA050BC" w14:textId="77777777" w:rsidTr="00EE0A7F">
        <w:trPr>
          <w:trHeight w:val="815"/>
        </w:trPr>
        <w:tc>
          <w:tcPr>
            <w:tcW w:w="3219" w:type="dxa"/>
            <w:shd w:val="clear" w:color="auto" w:fill="auto"/>
          </w:tcPr>
          <w:p w14:paraId="2D427003" w14:textId="34AEC28F" w:rsidR="00CA64AA" w:rsidRDefault="00CA64AA" w:rsidP="00CA64AA">
            <w:pPr>
              <w:tabs>
                <w:tab w:val="left" w:pos="601"/>
              </w:tabs>
            </w:pPr>
            <w:r>
              <w:t>Effective Date</w:t>
            </w:r>
          </w:p>
        </w:tc>
        <w:tc>
          <w:tcPr>
            <w:tcW w:w="6425" w:type="dxa"/>
            <w:gridSpan w:val="2"/>
            <w:shd w:val="clear" w:color="auto" w:fill="auto"/>
          </w:tcPr>
          <w:p w14:paraId="68CFEC12" w14:textId="77777777" w:rsidR="00CA64AA" w:rsidRDefault="00CA64AA" w:rsidP="006C62F4"/>
        </w:tc>
      </w:tr>
    </w:tbl>
    <w:p w14:paraId="6D147793" w14:textId="595F7833" w:rsidR="00BD61FD" w:rsidRDefault="00BD61FD" w:rsidP="00BD61FD">
      <w:pPr>
        <w:ind w:hanging="142"/>
        <w:rPr>
          <w:i/>
          <w:sz w:val="20"/>
        </w:rPr>
      </w:pPr>
      <w:r w:rsidRPr="00BD61FD">
        <w:rPr>
          <w:i/>
          <w:sz w:val="20"/>
        </w:rPr>
        <w:t>*Please provide the domicile of the relevant entity</w:t>
      </w:r>
    </w:p>
    <w:p w14:paraId="3E933370" w14:textId="302933A5" w:rsidR="007D4591" w:rsidRDefault="007D4591" w:rsidP="00BD61FD">
      <w:pPr>
        <w:ind w:hanging="142"/>
        <w:rPr>
          <w:i/>
          <w:sz w:val="20"/>
        </w:rPr>
      </w:pPr>
    </w:p>
    <w:p w14:paraId="37AF0042" w14:textId="4FA9AA1C" w:rsidR="007D4591" w:rsidRDefault="007D4591" w:rsidP="00BD61FD">
      <w:pPr>
        <w:ind w:hanging="142"/>
        <w:rPr>
          <w:i/>
          <w:sz w:val="20"/>
        </w:rPr>
      </w:pPr>
    </w:p>
    <w:p w14:paraId="3AEFCE9C" w14:textId="1CD619BB" w:rsidR="007D4591" w:rsidRDefault="007D4591" w:rsidP="00BD61FD">
      <w:pPr>
        <w:ind w:hanging="142"/>
        <w:rPr>
          <w:i/>
          <w:sz w:val="20"/>
        </w:rPr>
      </w:pPr>
    </w:p>
    <w:p w14:paraId="5CA5D35A" w14:textId="60AA1B47" w:rsidR="007D4591" w:rsidRDefault="007D4591" w:rsidP="00BD61FD">
      <w:pPr>
        <w:ind w:hanging="142"/>
        <w:rPr>
          <w:i/>
          <w:sz w:val="20"/>
        </w:rPr>
      </w:pPr>
    </w:p>
    <w:p w14:paraId="78E56F19" w14:textId="14E3F909" w:rsidR="007D4591" w:rsidRDefault="007D4591" w:rsidP="00BD61FD">
      <w:pPr>
        <w:ind w:hanging="142"/>
        <w:rPr>
          <w:i/>
          <w:sz w:val="20"/>
        </w:rPr>
      </w:pPr>
    </w:p>
    <w:p w14:paraId="08D597EE" w14:textId="053227C8" w:rsidR="007D4591" w:rsidRDefault="007D4591" w:rsidP="00BD61FD">
      <w:pPr>
        <w:ind w:hanging="142"/>
        <w:rPr>
          <w:i/>
          <w:sz w:val="20"/>
        </w:rPr>
      </w:pPr>
    </w:p>
    <w:p w14:paraId="6AF0F26E" w14:textId="68870953" w:rsidR="007D4591" w:rsidRDefault="007D4591" w:rsidP="007D4591">
      <w:pPr>
        <w:rPr>
          <w:rFonts w:ascii="Lato" w:hAnsi="Lato"/>
          <w:i/>
          <w:iCs/>
        </w:rPr>
      </w:pPr>
      <w:r>
        <w:rPr>
          <w:rFonts w:ascii="Lato" w:hAnsi="Lato"/>
          <w:i/>
          <w:iCs/>
        </w:rPr>
        <w:t xml:space="preserve">The Central Bank may process personal data provided by you in order to fulfil its statutory functions or to facilitate its business operations. Any personal data will be processed in accordance with the requirements of data protection legislation. Any queries concerning the processing of personal data by the Central Bank may be directed to </w:t>
      </w:r>
      <w:hyperlink r:id="rId10" w:history="1">
        <w:r>
          <w:rPr>
            <w:rStyle w:val="Hyperlink"/>
            <w:rFonts w:ascii="Lato" w:hAnsi="Lato"/>
            <w:i/>
            <w:iCs/>
          </w:rPr>
          <w:t>dataprotection@centralbank.ie</w:t>
        </w:r>
      </w:hyperlink>
      <w:r>
        <w:rPr>
          <w:rFonts w:ascii="Lato" w:hAnsi="Lato"/>
          <w:i/>
          <w:iCs/>
        </w:rPr>
        <w:t xml:space="preserve">. A copy of the Central Bank’s Data Protection Notice is available at </w:t>
      </w:r>
      <w:hyperlink r:id="rId11" w:history="1">
        <w:r>
          <w:rPr>
            <w:rStyle w:val="Hyperlink"/>
            <w:rFonts w:ascii="Lato" w:hAnsi="Lato"/>
          </w:rPr>
          <w:t>www.centralbank.ie/fns/privacy-statement</w:t>
        </w:r>
      </w:hyperlink>
      <w:r>
        <w:rPr>
          <w:rFonts w:ascii="Lato" w:hAnsi="Lato"/>
          <w:i/>
          <w:iCs/>
        </w:rPr>
        <w:t>.</w:t>
      </w:r>
    </w:p>
    <w:p w14:paraId="673019DA" w14:textId="3B5CB323" w:rsidR="007D4591" w:rsidRPr="00BD61FD" w:rsidRDefault="007D4591" w:rsidP="00BD61FD">
      <w:pPr>
        <w:ind w:hanging="142"/>
        <w:rPr>
          <w:i/>
          <w:sz w:val="20"/>
        </w:rPr>
      </w:pPr>
    </w:p>
    <w:sectPr w:rsidR="007D4591" w:rsidRPr="00BD61F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C860A" w14:textId="77777777" w:rsidR="007D4591" w:rsidRDefault="007D4591">
      <w:pPr>
        <w:spacing w:after="0" w:line="240" w:lineRule="auto"/>
      </w:pPr>
    </w:p>
  </w:endnote>
  <w:endnote w:type="continuationSeparator" w:id="0">
    <w:p w14:paraId="60D6E240" w14:textId="77777777" w:rsidR="007D4591" w:rsidRDefault="007D45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BB831" w14:textId="77777777" w:rsidR="007D4591" w:rsidRDefault="007D45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C172A" w14:textId="77777777" w:rsidR="007D4591" w:rsidRDefault="007D45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4DE27" w14:textId="77777777" w:rsidR="007D4591" w:rsidRDefault="007D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73E60" w14:textId="77777777" w:rsidR="007D4591" w:rsidRDefault="007D4591">
      <w:pPr>
        <w:spacing w:after="0" w:line="240" w:lineRule="auto"/>
      </w:pPr>
    </w:p>
  </w:footnote>
  <w:footnote w:type="continuationSeparator" w:id="0">
    <w:p w14:paraId="6A4FB50C" w14:textId="77777777" w:rsidR="007D4591" w:rsidRDefault="007D45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BD118" w14:textId="5EE76541" w:rsidR="007D4591" w:rsidRDefault="001A0B9E" w:rsidP="001A0B9E">
    <w:pPr>
      <w:pStyle w:val="Header"/>
    </w:pPr>
    <w:fldSimple w:instr=" DOCPROPERTY bjHeaderEvenPageDocProperty \* MERGEFORMAT " w:fldLock="1">
      <w:r w:rsidRPr="001A0B9E">
        <w:rPr>
          <w:rFonts w:ascii="Times New Roman" w:hAnsi="Times New Roman" w:cs="Times New Roman"/>
          <w:color w:val="000000"/>
          <w:sz w:val="24"/>
        </w:rPr>
        <w:t>Central Bank of Ireland - UNRESTRICTED</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E114E" w14:textId="5E048451" w:rsidR="007D4591" w:rsidRDefault="001A0B9E" w:rsidP="001A0B9E">
    <w:pPr>
      <w:pStyle w:val="Header"/>
    </w:pPr>
    <w:fldSimple w:instr=" DOCPROPERTY bjHeaderBothDocProperty \* MERGEFORMAT " w:fldLock="1">
      <w:r w:rsidRPr="001A0B9E">
        <w:rPr>
          <w:rFonts w:ascii="Times New Roman" w:hAnsi="Times New Roman" w:cs="Times New Roman"/>
          <w:color w:val="000000"/>
          <w:sz w:val="24"/>
        </w:rPr>
        <w:t>Central Bank of Ireland - UNRESTRICTED</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22BC3" w14:textId="7778067F" w:rsidR="007D4591" w:rsidRDefault="001A0B9E" w:rsidP="001A0B9E">
    <w:pPr>
      <w:pStyle w:val="Header"/>
    </w:pPr>
    <w:fldSimple w:instr=" DOCPROPERTY bjHeaderFirstPageDocProperty \* MERGEFORMAT " w:fldLock="1">
      <w:r w:rsidRPr="001A0B9E">
        <w:rPr>
          <w:rFonts w:ascii="Times New Roman" w:hAnsi="Times New Roman" w:cs="Times New Roman"/>
          <w:color w:val="000000"/>
          <w:sz w:val="24"/>
        </w:rPr>
        <w:t>Central Bank of Ireland - UNRESTRICTED</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FC7"/>
    <w:rsid w:val="00074826"/>
    <w:rsid w:val="00101BA6"/>
    <w:rsid w:val="001A0B9E"/>
    <w:rsid w:val="002B7169"/>
    <w:rsid w:val="006F5BCF"/>
    <w:rsid w:val="007D4591"/>
    <w:rsid w:val="00AA3C96"/>
    <w:rsid w:val="00BD61FD"/>
    <w:rsid w:val="00CA64AA"/>
    <w:rsid w:val="00EE0A7F"/>
    <w:rsid w:val="00EF4F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B1673"/>
  <w15:docId w15:val="{2A4A789C-772B-42C3-83C2-6BDC29D7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4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45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591"/>
  </w:style>
  <w:style w:type="paragraph" w:styleId="Footer">
    <w:name w:val="footer"/>
    <w:basedOn w:val="Normal"/>
    <w:link w:val="FooterChar"/>
    <w:uiPriority w:val="99"/>
    <w:unhideWhenUsed/>
    <w:rsid w:val="007D45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591"/>
  </w:style>
  <w:style w:type="character" w:styleId="Hyperlink">
    <w:name w:val="Hyperlink"/>
    <w:basedOn w:val="DefaultParagraphFont"/>
    <w:uiPriority w:val="99"/>
    <w:semiHidden/>
    <w:unhideWhenUsed/>
    <w:rsid w:val="007D459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1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entralbank.ie/fns/privacy-statemen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dataprotection@centralbank.ie"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BF474932B3644DAAC9A67937B661B0" ma:contentTypeVersion="0" ma:contentTypeDescription="Create a new document." ma:contentTypeScope="" ma:versionID="79d0254e442a161ee361aad41aaa887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i="http://www.w3.org/2001/XMLSchema-instance" xmlns:xsd="http://www.w3.org/2001/XMLSchema" xmlns="http://www.boldonjames.com/2008/01/sie/internal/label" sislVersion="0" policy="a586b747-2a7c-4f57-bcd1-e81df5c8c005" origin="userSelected">
  <element uid="id_classification_nonbusiness" value=""/>
</sisl>
</file>

<file path=customXml/itemProps1.xml><?xml version="1.0" encoding="utf-8"?>
<ds:datastoreItem xmlns:ds="http://schemas.openxmlformats.org/officeDocument/2006/customXml" ds:itemID="{3DD402FD-659C-4803-8C5E-EF84DCB34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6A7B3C3-01B5-4CD2-AD5E-0C3F92EF458A}">
  <ds:schemaRefs>
    <ds:schemaRef ds:uri="http://schemas.microsoft.com/sharepoint/v3/contenttype/forms"/>
  </ds:schemaRefs>
</ds:datastoreItem>
</file>

<file path=customXml/itemProps3.xml><?xml version="1.0" encoding="utf-8"?>
<ds:datastoreItem xmlns:ds="http://schemas.openxmlformats.org/officeDocument/2006/customXml" ds:itemID="{46947EB0-75CE-45F0-B059-16275F7AEA5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9FDDC56-2AD6-4B5E-A2B9-8C560FB062B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835</Characters>
  <Application>Microsoft Office Word</Application>
  <DocSecurity>0</DocSecurity>
  <Lines>83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 Cameron</dc:creator>
  <cp:keywords>Unrestricted</cp:keywords>
  <cp:lastModifiedBy>Finnegan, Ciaran</cp:lastModifiedBy>
  <cp:revision>3</cp:revision>
  <dcterms:created xsi:type="dcterms:W3CDTF">2018-05-30T13:00:00Z</dcterms:created>
  <dcterms:modified xsi:type="dcterms:W3CDTF">2018-05-30T13:00:00Z</dcterms:modified>
  <cp:category>Unrestricted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0x01010073BF474932B3644DAAC9A67937B661B0</vt:lpwstr>
  </property>
  <property fmtid="{D5CDD505-2E9C-101B-9397-08002B2CF9AE}" pid="3" name="docIndexRef">
    <vt:lpwstr>7bdeaf68-865f-4eaf-aec3-df3e3dea3376</vt:lpwstr>
  </property>
  <property fmtid="{D5CDD505-2E9C-101B-9397-08002B2CF9AE}" pid="4" name="bjSaver">
    <vt:lpwstr>3TLqVN1mbF8qT6wVR5w0L9YpcTHknqTu</vt:lpwstr>
  </property>
  <property fmtid="{D5CDD505-2E9C-101B-9397-08002B2CF9AE}" pid="5"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6" name="bjDocumentLabelXML-0">
    <vt:lpwstr>ames.com/2008/01/sie/internal/label"&gt;&lt;element uid="id_classification_nonbusiness" value="" /&gt;&lt;/sisl&gt;</vt:lpwstr>
  </property>
  <property fmtid="{D5CDD505-2E9C-101B-9397-08002B2CF9AE}" pid="7" name="bjDocumentSecurityLabel">
    <vt:lpwstr>Unrestricted</vt:lpwstr>
  </property>
  <property fmtid="{D5CDD505-2E9C-101B-9397-08002B2CF9AE}" pid="8" name="bjHeaderBothDocProperty">
    <vt:lpwstr>Central Bank of Ireland - UNRESTRICTED</vt:lpwstr>
  </property>
  <property fmtid="{D5CDD505-2E9C-101B-9397-08002B2CF9AE}" pid="9" name="bjHeaderFirstPageDocProperty">
    <vt:lpwstr>Central Bank of Ireland - UNRESTRICTED</vt:lpwstr>
  </property>
  <property fmtid="{D5CDD505-2E9C-101B-9397-08002B2CF9AE}" pid="10" name="bjHeaderEvenPageDocProperty">
    <vt:lpwstr>Central Bank of Ireland - UNRESTRICTED</vt:lpwstr>
  </property>
</Properties>
</file>