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7B" w:rsidRPr="009E30B6" w:rsidRDefault="004771B6" w:rsidP="003C485E">
      <w:pPr>
        <w:pStyle w:val="CoverTitle"/>
      </w:pPr>
      <w:bookmarkStart w:id="0" w:name="_GoBack"/>
      <w:bookmarkEnd w:id="0"/>
      <w:r>
        <w:t>Release Notes</w:t>
      </w:r>
    </w:p>
    <w:p w:rsidR="002F0F89" w:rsidRPr="007344EC" w:rsidRDefault="002B5193" w:rsidP="0074352D">
      <w:pPr>
        <w:pStyle w:val="CoverSubtitle"/>
      </w:pPr>
      <w:r>
        <w:t>For version 1.5</w:t>
      </w:r>
      <w:r w:rsidR="0074352D">
        <w:t xml:space="preserve">.0 of the </w:t>
      </w:r>
      <w:r w:rsidR="004771B6" w:rsidRPr="004771B6">
        <w:t>Solvency II National Specific Templates DPM and XBRL taxonomy</w:t>
      </w:r>
    </w:p>
    <w:p w:rsidR="00D56982" w:rsidRDefault="00D56982" w:rsidP="00291654"/>
    <w:p w:rsidR="00D56982" w:rsidRDefault="00D56982" w:rsidP="00291654">
      <w:pPr>
        <w:sectPr w:rsidR="00D56982" w:rsidSect="002916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6804" w:right="1700" w:bottom="1134" w:left="992" w:header="284" w:footer="284" w:gutter="0"/>
          <w:cols w:space="708"/>
          <w:titlePg/>
          <w:docGrid w:linePitch="360"/>
        </w:sectPr>
      </w:pPr>
    </w:p>
    <w:p w:rsidR="0062454F" w:rsidRPr="00FD35A6" w:rsidRDefault="0062454F" w:rsidP="009E5F41">
      <w:pPr>
        <w:pStyle w:val="CBHeading2"/>
      </w:pPr>
      <w:r w:rsidRPr="00060896">
        <w:br w:type="page"/>
      </w:r>
    </w:p>
    <w:p w:rsidR="004847C3" w:rsidRPr="00FD35A6" w:rsidRDefault="004847C3" w:rsidP="00291654">
      <w:pPr>
        <w:pStyle w:val="TOCHeading"/>
      </w:pPr>
      <w:r w:rsidRPr="00DB2A32">
        <w:lastRenderedPageBreak/>
        <w:t>Contents</w:t>
      </w:r>
    </w:p>
    <w:p w:rsidR="004847C3" w:rsidRPr="004847C3" w:rsidRDefault="004847C3" w:rsidP="00291654">
      <w:pPr>
        <w:rPr>
          <w:lang w:val="en-US"/>
        </w:rPr>
      </w:pPr>
    </w:p>
    <w:p w:rsidR="00B31047" w:rsidRPr="000A4945" w:rsidRDefault="004847C3">
      <w:pPr>
        <w:pStyle w:val="TOC1"/>
        <w:rPr>
          <w:rFonts w:ascii="Calibri" w:eastAsia="Times New Roman" w:hAnsi="Calibri"/>
          <w:b w:val="0"/>
          <w:color w:val="auto"/>
          <w:sz w:val="22"/>
          <w:lang w:eastAsia="en-IE"/>
        </w:rPr>
      </w:pPr>
      <w:r>
        <w:rPr>
          <w:bCs/>
        </w:rPr>
        <w:fldChar w:fldCharType="begin"/>
      </w:r>
      <w:r>
        <w:rPr>
          <w:bCs/>
        </w:rPr>
        <w:instrText xml:space="preserve"> TOC \o "1-3" \h \z \u </w:instrText>
      </w:r>
      <w:r>
        <w:rPr>
          <w:bCs/>
        </w:rPr>
        <w:fldChar w:fldCharType="separate"/>
      </w:r>
      <w:hyperlink w:anchor="_Toc24034809" w:history="1">
        <w:r w:rsidR="00B31047" w:rsidRPr="007E1205">
          <w:rPr>
            <w:rStyle w:val="Hyperlink"/>
          </w:rPr>
          <w:t>Intro</w:t>
        </w:r>
        <w:r w:rsidR="00B31047" w:rsidRPr="007E1205">
          <w:rPr>
            <w:rStyle w:val="Hyperlink"/>
          </w:rPr>
          <w:t>d</w:t>
        </w:r>
        <w:r w:rsidR="00B31047" w:rsidRPr="007E1205">
          <w:rPr>
            <w:rStyle w:val="Hyperlink"/>
          </w:rPr>
          <w:t>uc</w:t>
        </w:r>
        <w:r w:rsidR="00B31047" w:rsidRPr="007E1205">
          <w:rPr>
            <w:rStyle w:val="Hyperlink"/>
          </w:rPr>
          <w:t>t</w:t>
        </w:r>
        <w:r w:rsidR="00B31047" w:rsidRPr="007E1205">
          <w:rPr>
            <w:rStyle w:val="Hyperlink"/>
          </w:rPr>
          <w:t>ion</w:t>
        </w:r>
        <w:r w:rsidR="00B31047">
          <w:rPr>
            <w:webHidden/>
          </w:rPr>
          <w:tab/>
        </w:r>
        <w:r w:rsidR="00B31047">
          <w:rPr>
            <w:webHidden/>
          </w:rPr>
          <w:fldChar w:fldCharType="begin"/>
        </w:r>
        <w:r w:rsidR="00B31047">
          <w:rPr>
            <w:webHidden/>
          </w:rPr>
          <w:instrText xml:space="preserve"> PAGEREF _Toc24034809 \h </w:instrText>
        </w:r>
        <w:r w:rsidR="00B31047">
          <w:rPr>
            <w:webHidden/>
          </w:rPr>
        </w:r>
        <w:r w:rsidR="00B31047">
          <w:rPr>
            <w:webHidden/>
          </w:rPr>
          <w:fldChar w:fldCharType="separate"/>
        </w:r>
        <w:r w:rsidR="00B31047">
          <w:rPr>
            <w:webHidden/>
          </w:rPr>
          <w:t>3</w:t>
        </w:r>
        <w:r w:rsidR="00B31047">
          <w:rPr>
            <w:webHidden/>
          </w:rPr>
          <w:fldChar w:fldCharType="end"/>
        </w:r>
      </w:hyperlink>
    </w:p>
    <w:p w:rsidR="00B31047" w:rsidRPr="000A4945" w:rsidRDefault="00B31047" w:rsidP="00724F17">
      <w:pPr>
        <w:pStyle w:val="TOC2"/>
        <w:ind w:left="0"/>
        <w:rPr>
          <w:rFonts w:ascii="Calibri" w:eastAsia="Times New Roman" w:hAnsi="Calibri"/>
          <w:b w:val="0"/>
          <w:sz w:val="22"/>
          <w:lang w:eastAsia="en-IE"/>
        </w:rPr>
      </w:pPr>
      <w:hyperlink w:anchor="_Toc24034810" w:history="1">
        <w:r w:rsidRPr="007E1205">
          <w:rPr>
            <w:rStyle w:val="Hyperlink"/>
          </w:rPr>
          <w:t>Contac</w:t>
        </w:r>
        <w:r w:rsidRPr="007E1205">
          <w:rPr>
            <w:rStyle w:val="Hyperlink"/>
          </w:rPr>
          <w:t>t</w:t>
        </w:r>
        <w:r w:rsidRPr="007E1205">
          <w:rPr>
            <w:rStyle w:val="Hyperlink"/>
          </w:rPr>
          <w:t xml:space="preserve"> and Feedback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_Toc24034810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31047" w:rsidRPr="000A4945" w:rsidRDefault="00B31047" w:rsidP="00724F17">
      <w:pPr>
        <w:pStyle w:val="TOC2"/>
        <w:ind w:left="0"/>
        <w:rPr>
          <w:rFonts w:ascii="Calibri" w:eastAsia="Times New Roman" w:hAnsi="Calibri"/>
          <w:b w:val="0"/>
          <w:sz w:val="22"/>
          <w:lang w:eastAsia="en-IE"/>
        </w:rPr>
      </w:pPr>
      <w:hyperlink w:anchor="_Toc24034811" w:history="1">
        <w:r w:rsidRPr="007E1205">
          <w:rPr>
            <w:rStyle w:val="Hyperlink"/>
            <w:lang w:val="en-GB"/>
          </w:rPr>
          <w:t>Na</w:t>
        </w:r>
        <w:r w:rsidRPr="007E1205">
          <w:rPr>
            <w:rStyle w:val="Hyperlink"/>
            <w:lang w:val="en-GB"/>
          </w:rPr>
          <w:t>t</w:t>
        </w:r>
        <w:r w:rsidRPr="007E1205">
          <w:rPr>
            <w:rStyle w:val="Hyperlink"/>
            <w:lang w:val="en-GB"/>
          </w:rPr>
          <w:t>iona</w:t>
        </w:r>
        <w:r w:rsidRPr="007E1205">
          <w:rPr>
            <w:rStyle w:val="Hyperlink"/>
            <w:lang w:val="en-GB"/>
          </w:rPr>
          <w:t>l</w:t>
        </w:r>
        <w:r w:rsidRPr="007E1205">
          <w:rPr>
            <w:rStyle w:val="Hyperlink"/>
            <w:lang w:val="en-GB"/>
          </w:rPr>
          <w:t xml:space="preserve"> Specific Templates</w:t>
        </w:r>
        <w:r>
          <w:rPr>
            <w:webHidden/>
          </w:rPr>
          <w:tab/>
        </w:r>
        <w:r w:rsidR="00724F17">
          <w:rPr>
            <w:webHidden/>
          </w:rPr>
          <w:t>3</w:t>
        </w:r>
      </w:hyperlink>
    </w:p>
    <w:p w:rsidR="00B31047" w:rsidRPr="000A4945" w:rsidRDefault="00B31047" w:rsidP="00724F17">
      <w:pPr>
        <w:pStyle w:val="TOC2"/>
        <w:ind w:left="0"/>
        <w:rPr>
          <w:rFonts w:ascii="Calibri" w:eastAsia="Times New Roman" w:hAnsi="Calibri"/>
          <w:b w:val="0"/>
          <w:sz w:val="22"/>
          <w:lang w:eastAsia="en-IE"/>
        </w:rPr>
      </w:pPr>
      <w:hyperlink w:anchor="_Toc24034812" w:history="1">
        <w:r w:rsidRPr="007E1205">
          <w:rPr>
            <w:rStyle w:val="Hyperlink"/>
          </w:rPr>
          <w:t>Con</w:t>
        </w:r>
        <w:r w:rsidRPr="007E1205">
          <w:rPr>
            <w:rStyle w:val="Hyperlink"/>
          </w:rPr>
          <w:t>t</w:t>
        </w:r>
        <w:r w:rsidRPr="007E1205">
          <w:rPr>
            <w:rStyle w:val="Hyperlink"/>
          </w:rPr>
          <w:t>ent</w:t>
        </w:r>
        <w:r>
          <w:rPr>
            <w:webHidden/>
          </w:rPr>
          <w:tab/>
        </w:r>
        <w:r w:rsidR="00724F17">
          <w:rPr>
            <w:webHidden/>
          </w:rPr>
          <w:t>5</w:t>
        </w:r>
      </w:hyperlink>
    </w:p>
    <w:p w:rsidR="00B31047" w:rsidRPr="000A4945" w:rsidRDefault="00B31047" w:rsidP="00724F17">
      <w:pPr>
        <w:pStyle w:val="TOC2"/>
        <w:ind w:left="0"/>
        <w:rPr>
          <w:rFonts w:ascii="Calibri" w:eastAsia="Times New Roman" w:hAnsi="Calibri"/>
          <w:b w:val="0"/>
          <w:sz w:val="22"/>
          <w:lang w:eastAsia="en-IE"/>
        </w:rPr>
      </w:pPr>
      <w:hyperlink w:anchor="_Toc24034813" w:history="1">
        <w:r w:rsidRPr="007E1205">
          <w:rPr>
            <w:rStyle w:val="Hyperlink"/>
          </w:rPr>
          <w:t xml:space="preserve">File </w:t>
        </w:r>
        <w:r w:rsidRPr="007E1205">
          <w:rPr>
            <w:rStyle w:val="Hyperlink"/>
          </w:rPr>
          <w:t>N</w:t>
        </w:r>
        <w:r w:rsidRPr="007E1205">
          <w:rPr>
            <w:rStyle w:val="Hyperlink"/>
          </w:rPr>
          <w:t>ames</w:t>
        </w:r>
        <w:r>
          <w:rPr>
            <w:webHidden/>
          </w:rPr>
          <w:tab/>
        </w:r>
        <w:r w:rsidR="00724F17">
          <w:rPr>
            <w:webHidden/>
          </w:rPr>
          <w:t>5</w:t>
        </w:r>
      </w:hyperlink>
    </w:p>
    <w:p w:rsidR="00B31047" w:rsidRPr="000A4945" w:rsidRDefault="00B31047" w:rsidP="00724F17">
      <w:pPr>
        <w:pStyle w:val="TOC2"/>
        <w:ind w:left="0"/>
        <w:rPr>
          <w:rFonts w:ascii="Calibri" w:eastAsia="Times New Roman" w:hAnsi="Calibri"/>
          <w:b w:val="0"/>
          <w:sz w:val="22"/>
          <w:lang w:eastAsia="en-IE"/>
        </w:rPr>
      </w:pPr>
      <w:hyperlink w:anchor="_Toc24034814" w:history="1">
        <w:r w:rsidRPr="007E1205">
          <w:rPr>
            <w:rStyle w:val="Hyperlink"/>
          </w:rPr>
          <w:t>Scope</w:t>
        </w:r>
        <w:r>
          <w:rPr>
            <w:webHidden/>
          </w:rPr>
          <w:tab/>
        </w:r>
        <w:r w:rsidR="00724F17">
          <w:rPr>
            <w:webHidden/>
          </w:rPr>
          <w:t>6</w:t>
        </w:r>
      </w:hyperlink>
    </w:p>
    <w:p w:rsidR="00B31047" w:rsidRPr="000A4945" w:rsidRDefault="00B31047" w:rsidP="00724F17">
      <w:pPr>
        <w:pStyle w:val="TOC2"/>
        <w:ind w:left="0"/>
        <w:rPr>
          <w:rFonts w:ascii="Calibri" w:eastAsia="Times New Roman" w:hAnsi="Calibri"/>
          <w:b w:val="0"/>
          <w:sz w:val="22"/>
          <w:lang w:eastAsia="en-IE"/>
        </w:rPr>
      </w:pPr>
      <w:hyperlink w:anchor="_Toc24034815" w:history="1">
        <w:r w:rsidRPr="007E1205">
          <w:rPr>
            <w:rStyle w:val="Hyperlink"/>
          </w:rPr>
          <w:t>D</w:t>
        </w:r>
        <w:r w:rsidRPr="007E1205">
          <w:rPr>
            <w:rStyle w:val="Hyperlink"/>
          </w:rPr>
          <w:t>P</w:t>
        </w:r>
        <w:r w:rsidRPr="007E1205">
          <w:rPr>
            <w:rStyle w:val="Hyperlink"/>
          </w:rPr>
          <w:t>M</w:t>
        </w:r>
        <w:r>
          <w:rPr>
            <w:webHidden/>
          </w:rPr>
          <w:tab/>
        </w:r>
        <w:r w:rsidR="00724F17">
          <w:rPr>
            <w:webHidden/>
          </w:rPr>
          <w:t>7</w:t>
        </w:r>
      </w:hyperlink>
    </w:p>
    <w:p w:rsidR="00B31047" w:rsidRPr="000A4945" w:rsidRDefault="00B31047" w:rsidP="00724F17">
      <w:pPr>
        <w:pStyle w:val="TOC2"/>
        <w:ind w:left="0"/>
        <w:rPr>
          <w:rFonts w:ascii="Calibri" w:eastAsia="Times New Roman" w:hAnsi="Calibri"/>
          <w:b w:val="0"/>
          <w:sz w:val="22"/>
          <w:lang w:eastAsia="en-IE"/>
        </w:rPr>
      </w:pPr>
      <w:hyperlink w:anchor="_Toc24034816" w:history="1">
        <w:r w:rsidRPr="007E1205">
          <w:rPr>
            <w:rStyle w:val="Hyperlink"/>
            <w:lang w:val="en-GB"/>
          </w:rPr>
          <w:t>XB</w:t>
        </w:r>
        <w:r w:rsidRPr="007E1205">
          <w:rPr>
            <w:rStyle w:val="Hyperlink"/>
            <w:lang w:val="en-GB"/>
          </w:rPr>
          <w:t>R</w:t>
        </w:r>
        <w:r w:rsidRPr="007E1205">
          <w:rPr>
            <w:rStyle w:val="Hyperlink"/>
            <w:lang w:val="en-GB"/>
          </w:rPr>
          <w:t>L</w:t>
        </w:r>
        <w:r>
          <w:rPr>
            <w:webHidden/>
          </w:rPr>
          <w:tab/>
        </w:r>
        <w:r w:rsidR="00724F17">
          <w:rPr>
            <w:webHidden/>
          </w:rPr>
          <w:t>7</w:t>
        </w:r>
      </w:hyperlink>
    </w:p>
    <w:p w:rsidR="00B31047" w:rsidRPr="000A4945" w:rsidRDefault="00B31047" w:rsidP="00724F17">
      <w:pPr>
        <w:pStyle w:val="TOC2"/>
        <w:ind w:left="0"/>
        <w:rPr>
          <w:rFonts w:ascii="Calibri" w:eastAsia="Times New Roman" w:hAnsi="Calibri"/>
          <w:b w:val="0"/>
          <w:sz w:val="22"/>
          <w:lang w:eastAsia="en-IE"/>
        </w:rPr>
      </w:pPr>
      <w:hyperlink w:anchor="_Toc24034817" w:history="1">
        <w:r w:rsidRPr="007E1205">
          <w:rPr>
            <w:rStyle w:val="Hyperlink"/>
            <w:lang w:val="en-GB"/>
          </w:rPr>
          <w:t>Taxon</w:t>
        </w:r>
        <w:r w:rsidRPr="007E1205">
          <w:rPr>
            <w:rStyle w:val="Hyperlink"/>
            <w:lang w:val="en-GB"/>
          </w:rPr>
          <w:t>o</w:t>
        </w:r>
        <w:r w:rsidRPr="007E1205">
          <w:rPr>
            <w:rStyle w:val="Hyperlink"/>
            <w:lang w:val="en-GB"/>
          </w:rPr>
          <w:t>my distribution</w:t>
        </w:r>
        <w:r>
          <w:rPr>
            <w:webHidden/>
          </w:rPr>
          <w:tab/>
        </w:r>
        <w:r w:rsidR="00724F17">
          <w:rPr>
            <w:webHidden/>
          </w:rPr>
          <w:t>7</w:t>
        </w:r>
      </w:hyperlink>
    </w:p>
    <w:p w:rsidR="00B31047" w:rsidRPr="000A4945" w:rsidRDefault="00B31047" w:rsidP="00724F17">
      <w:pPr>
        <w:pStyle w:val="TOC2"/>
        <w:ind w:left="0"/>
        <w:rPr>
          <w:rFonts w:ascii="Calibri" w:eastAsia="Times New Roman" w:hAnsi="Calibri"/>
          <w:b w:val="0"/>
          <w:sz w:val="22"/>
          <w:lang w:eastAsia="en-IE"/>
        </w:rPr>
      </w:pPr>
      <w:hyperlink w:anchor="_Toc24034818" w:history="1">
        <w:r w:rsidRPr="007E1205">
          <w:rPr>
            <w:rStyle w:val="Hyperlink"/>
            <w:lang w:val="en-GB"/>
          </w:rPr>
          <w:t>Sample XBRL instance documents</w:t>
        </w:r>
        <w:r>
          <w:rPr>
            <w:webHidden/>
          </w:rPr>
          <w:tab/>
        </w:r>
        <w:r w:rsidR="00724F17">
          <w:rPr>
            <w:webHidden/>
          </w:rPr>
          <w:t>7</w:t>
        </w:r>
      </w:hyperlink>
    </w:p>
    <w:p w:rsidR="00B31047" w:rsidRPr="000A4945" w:rsidRDefault="00B31047" w:rsidP="00724F17">
      <w:pPr>
        <w:pStyle w:val="TOC2"/>
        <w:ind w:left="0"/>
        <w:rPr>
          <w:rFonts w:ascii="Calibri" w:eastAsia="Times New Roman" w:hAnsi="Calibri"/>
          <w:b w:val="0"/>
          <w:sz w:val="22"/>
          <w:lang w:eastAsia="en-IE"/>
        </w:rPr>
      </w:pPr>
      <w:hyperlink w:anchor="_Toc24034819" w:history="1">
        <w:r w:rsidRPr="007E1205">
          <w:rPr>
            <w:rStyle w:val="Hyperlink"/>
            <w:lang w:val="en-GB"/>
          </w:rPr>
          <w:t>Validat</w:t>
        </w:r>
        <w:r w:rsidRPr="007E1205">
          <w:rPr>
            <w:rStyle w:val="Hyperlink"/>
            <w:lang w:val="en-GB"/>
          </w:rPr>
          <w:t>i</w:t>
        </w:r>
        <w:r w:rsidRPr="007E1205">
          <w:rPr>
            <w:rStyle w:val="Hyperlink"/>
            <w:lang w:val="en-GB"/>
          </w:rPr>
          <w:t>ons</w:t>
        </w:r>
        <w:r>
          <w:rPr>
            <w:webHidden/>
          </w:rPr>
          <w:tab/>
        </w:r>
        <w:r w:rsidR="00724F17">
          <w:rPr>
            <w:webHidden/>
          </w:rPr>
          <w:t>8</w:t>
        </w:r>
      </w:hyperlink>
    </w:p>
    <w:p w:rsidR="00B31047" w:rsidRPr="000A4945" w:rsidRDefault="00B31047" w:rsidP="00724F17">
      <w:pPr>
        <w:pStyle w:val="TOC2"/>
        <w:ind w:left="0"/>
        <w:rPr>
          <w:rFonts w:ascii="Calibri" w:eastAsia="Times New Roman" w:hAnsi="Calibri"/>
          <w:b w:val="0"/>
          <w:sz w:val="22"/>
          <w:lang w:eastAsia="en-IE"/>
        </w:rPr>
      </w:pPr>
      <w:hyperlink w:anchor="_Toc24034820" w:history="1">
        <w:r w:rsidRPr="007E1205">
          <w:rPr>
            <w:rStyle w:val="Hyperlink"/>
            <w:lang w:val="en-GB"/>
          </w:rPr>
          <w:t>Filing</w:t>
        </w:r>
        <w:r w:rsidRPr="007E1205">
          <w:rPr>
            <w:rStyle w:val="Hyperlink"/>
            <w:lang w:val="en-GB"/>
          </w:rPr>
          <w:t xml:space="preserve"> </w:t>
        </w:r>
        <w:r w:rsidRPr="007E1205">
          <w:rPr>
            <w:rStyle w:val="Hyperlink"/>
            <w:lang w:val="en-GB"/>
          </w:rPr>
          <w:t>Rules</w:t>
        </w:r>
        <w:r>
          <w:rPr>
            <w:webHidden/>
          </w:rPr>
          <w:tab/>
        </w:r>
        <w:r w:rsidR="00724F17">
          <w:rPr>
            <w:webHidden/>
          </w:rPr>
          <w:t>8</w:t>
        </w:r>
      </w:hyperlink>
    </w:p>
    <w:p w:rsidR="00B31047" w:rsidRPr="000A4945" w:rsidRDefault="00B31047" w:rsidP="00724F17">
      <w:pPr>
        <w:pStyle w:val="TOC2"/>
        <w:ind w:left="0"/>
        <w:rPr>
          <w:rFonts w:ascii="Calibri" w:eastAsia="Times New Roman" w:hAnsi="Calibri"/>
          <w:b w:val="0"/>
          <w:sz w:val="22"/>
          <w:lang w:eastAsia="en-IE"/>
        </w:rPr>
      </w:pPr>
      <w:hyperlink w:anchor="_Toc24034821" w:history="1">
        <w:r w:rsidRPr="007E1205">
          <w:rPr>
            <w:rStyle w:val="Hyperlink"/>
            <w:lang w:val="en-GB"/>
          </w:rPr>
          <w:t>Annex 1:</w:t>
        </w:r>
        <w:r w:rsidR="002B5193">
          <w:rPr>
            <w:rStyle w:val="Hyperlink"/>
            <w:lang w:val="en-GB"/>
          </w:rPr>
          <w:t xml:space="preserve"> C</w:t>
        </w:r>
        <w:r w:rsidR="002B5193">
          <w:rPr>
            <w:rStyle w:val="Hyperlink"/>
            <w:lang w:val="en-GB"/>
          </w:rPr>
          <w:t>h</w:t>
        </w:r>
        <w:r w:rsidR="002B5193">
          <w:rPr>
            <w:rStyle w:val="Hyperlink"/>
            <w:lang w:val="en-GB"/>
          </w:rPr>
          <w:t>anges Compared to version 1.4</w:t>
        </w:r>
        <w:r w:rsidRPr="007E1205">
          <w:rPr>
            <w:rStyle w:val="Hyperlink"/>
            <w:lang w:val="en-GB"/>
          </w:rPr>
          <w:t>.0</w:t>
        </w:r>
        <w:r>
          <w:rPr>
            <w:webHidden/>
          </w:rPr>
          <w:tab/>
        </w:r>
        <w:r w:rsidR="00724F17">
          <w:rPr>
            <w:webHidden/>
          </w:rPr>
          <w:t>8</w:t>
        </w:r>
      </w:hyperlink>
    </w:p>
    <w:p w:rsidR="004847C3" w:rsidRPr="00BB47F5" w:rsidRDefault="004847C3" w:rsidP="00BB47F5">
      <w:pPr>
        <w:pStyle w:val="TOC1"/>
      </w:pPr>
      <w:r>
        <w:fldChar w:fldCharType="end"/>
      </w:r>
    </w:p>
    <w:p w:rsidR="003E7F28" w:rsidRPr="004847C3" w:rsidRDefault="003C485E" w:rsidP="00B31047">
      <w:pPr>
        <w:pStyle w:val="CBHeading1"/>
      </w:pPr>
      <w:bookmarkStart w:id="1" w:name="_Toc24034808"/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-758190</wp:posOffset>
                </wp:positionH>
                <wp:positionV relativeFrom="paragraph">
                  <wp:posOffset>5823585</wp:posOffset>
                </wp:positionV>
                <wp:extent cx="7581900" cy="3086100"/>
                <wp:effectExtent l="0" t="0" r="0" b="0"/>
                <wp:wrapNone/>
                <wp:docPr id="6" name="Snip Single Corner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7581900" cy="3086100"/>
                        </a:xfrm>
                        <a:custGeom>
                          <a:avLst/>
                          <a:gdLst>
                            <a:gd name="connsiteX0" fmla="*/ 0 w 7524750"/>
                            <a:gd name="connsiteY0" fmla="*/ 0 h 3086100"/>
                            <a:gd name="connsiteX1" fmla="*/ 7010390 w 7524750"/>
                            <a:gd name="connsiteY1" fmla="*/ 0 h 3086100"/>
                            <a:gd name="connsiteX2" fmla="*/ 7524750 w 7524750"/>
                            <a:gd name="connsiteY2" fmla="*/ 514360 h 3086100"/>
                            <a:gd name="connsiteX3" fmla="*/ 7524750 w 7524750"/>
                            <a:gd name="connsiteY3" fmla="*/ 3086100 h 3086100"/>
                            <a:gd name="connsiteX4" fmla="*/ 0 w 7524750"/>
                            <a:gd name="connsiteY4" fmla="*/ 3086100 h 3086100"/>
                            <a:gd name="connsiteX5" fmla="*/ 0 w 7524750"/>
                            <a:gd name="connsiteY5" fmla="*/ 0 h 3086100"/>
                            <a:gd name="connsiteX0" fmla="*/ 0 w 7524750"/>
                            <a:gd name="connsiteY0" fmla="*/ 0 h 3086100"/>
                            <a:gd name="connsiteX1" fmla="*/ 6153140 w 7524750"/>
                            <a:gd name="connsiteY1" fmla="*/ 419100 h 3086100"/>
                            <a:gd name="connsiteX2" fmla="*/ 7524750 w 7524750"/>
                            <a:gd name="connsiteY2" fmla="*/ 514360 h 3086100"/>
                            <a:gd name="connsiteX3" fmla="*/ 7524750 w 7524750"/>
                            <a:gd name="connsiteY3" fmla="*/ 3086100 h 3086100"/>
                            <a:gd name="connsiteX4" fmla="*/ 0 w 7524750"/>
                            <a:gd name="connsiteY4" fmla="*/ 3086100 h 3086100"/>
                            <a:gd name="connsiteX5" fmla="*/ 0 w 7524750"/>
                            <a:gd name="connsiteY5" fmla="*/ 0 h 3086100"/>
                            <a:gd name="connsiteX0" fmla="*/ 0 w 7524750"/>
                            <a:gd name="connsiteY0" fmla="*/ 0 h 3086100"/>
                            <a:gd name="connsiteX1" fmla="*/ 6153140 w 7524750"/>
                            <a:gd name="connsiteY1" fmla="*/ 419100 h 3086100"/>
                            <a:gd name="connsiteX2" fmla="*/ 6905625 w 7524750"/>
                            <a:gd name="connsiteY2" fmla="*/ 1638310 h 3086100"/>
                            <a:gd name="connsiteX3" fmla="*/ 7524750 w 7524750"/>
                            <a:gd name="connsiteY3" fmla="*/ 3086100 h 3086100"/>
                            <a:gd name="connsiteX4" fmla="*/ 0 w 7524750"/>
                            <a:gd name="connsiteY4" fmla="*/ 3086100 h 3086100"/>
                            <a:gd name="connsiteX5" fmla="*/ 0 w 7524750"/>
                            <a:gd name="connsiteY5" fmla="*/ 0 h 3086100"/>
                            <a:gd name="connsiteX0" fmla="*/ 0 w 7524750"/>
                            <a:gd name="connsiteY0" fmla="*/ 0 h 3086100"/>
                            <a:gd name="connsiteX1" fmla="*/ 6153140 w 7524750"/>
                            <a:gd name="connsiteY1" fmla="*/ 419100 h 3086100"/>
                            <a:gd name="connsiteX2" fmla="*/ 7524750 w 7524750"/>
                            <a:gd name="connsiteY2" fmla="*/ 2409835 h 3086100"/>
                            <a:gd name="connsiteX3" fmla="*/ 7524750 w 7524750"/>
                            <a:gd name="connsiteY3" fmla="*/ 3086100 h 3086100"/>
                            <a:gd name="connsiteX4" fmla="*/ 0 w 7524750"/>
                            <a:gd name="connsiteY4" fmla="*/ 3086100 h 3086100"/>
                            <a:gd name="connsiteX5" fmla="*/ 0 w 7524750"/>
                            <a:gd name="connsiteY5" fmla="*/ 0 h 3086100"/>
                            <a:gd name="connsiteX0" fmla="*/ 0 w 7524750"/>
                            <a:gd name="connsiteY0" fmla="*/ 0 h 3086100"/>
                            <a:gd name="connsiteX1" fmla="*/ 4276715 w 7524750"/>
                            <a:gd name="connsiteY1" fmla="*/ 0 h 3086100"/>
                            <a:gd name="connsiteX2" fmla="*/ 7524750 w 7524750"/>
                            <a:gd name="connsiteY2" fmla="*/ 2409835 h 3086100"/>
                            <a:gd name="connsiteX3" fmla="*/ 7524750 w 7524750"/>
                            <a:gd name="connsiteY3" fmla="*/ 3086100 h 3086100"/>
                            <a:gd name="connsiteX4" fmla="*/ 0 w 7524750"/>
                            <a:gd name="connsiteY4" fmla="*/ 3086100 h 3086100"/>
                            <a:gd name="connsiteX5" fmla="*/ 0 w 7524750"/>
                            <a:gd name="connsiteY5" fmla="*/ 0 h 3086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24750" h="3086100">
                              <a:moveTo>
                                <a:pt x="0" y="0"/>
                              </a:moveTo>
                              <a:lnTo>
                                <a:pt x="4276715" y="0"/>
                              </a:lnTo>
                              <a:lnTo>
                                <a:pt x="7524750" y="2409835"/>
                              </a:lnTo>
                              <a:lnTo>
                                <a:pt x="7524750" y="3086100"/>
                              </a:lnTo>
                              <a:lnTo>
                                <a:pt x="0" y="3086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C5C2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52E66" id="Snip Single Corner Rectangle 6" o:spid="_x0000_s1026" style="position:absolute;margin-left:-59.7pt;margin-top:458.55pt;width:597pt;height:243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0,308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" path="m,l4276715,,7524750,2409835r,676265l,3086100,,xe" fillcolor="#bfe8e7" stroked="f" strokeweight="1pt">
                <v:stroke joinstyle="miter"/>
                <v:path arrowok="t" o:connecttype="custom" o:connectlocs="0,0;4309196,0;7581900,2409835;7581900,3086100;0,3086100;0,0" o:connectangles="0,0,0,0,0,0"/>
              </v:shape>
            </w:pict>
          </mc:Fallback>
        </mc:AlternateContent>
      </w:r>
      <w:bookmarkEnd w:id="1"/>
      <w:r w:rsidR="00675330">
        <w:br w:type="page"/>
      </w:r>
      <w:bookmarkStart w:id="2" w:name="_Toc24034809"/>
      <w:r w:rsidR="004771B6">
        <w:lastRenderedPageBreak/>
        <w:t>Introduction</w:t>
      </w:r>
      <w:bookmarkEnd w:id="2"/>
    </w:p>
    <w:p w:rsidR="004771B6" w:rsidRDefault="004771B6" w:rsidP="004771B6">
      <w:pPr>
        <w:pStyle w:val="CBIntroPara"/>
      </w:pPr>
      <w:r>
        <w:t>This document introduces the Data Point Model (DPM) and XBRL taxonomy deliverables covering information requirements defined by the Central Bank of Ireland (CBI) in the N</w:t>
      </w:r>
      <w:r w:rsidR="00955B43">
        <w:t>ational Specific Templates (NST</w:t>
      </w:r>
      <w:r>
        <w:t>s).</w:t>
      </w:r>
    </w:p>
    <w:p w:rsidR="004771B6" w:rsidRDefault="00955B43" w:rsidP="006A49E2">
      <w:pPr>
        <w:pStyle w:val="BodyCopy"/>
      </w:pPr>
      <w:r>
        <w:t>NST</w:t>
      </w:r>
      <w:r w:rsidR="004771B6">
        <w:t xml:space="preserve">s extend the information requirements of Solvency II defined by the European Insurance and Occupational Pensions Authority (EIOPA). </w:t>
      </w:r>
      <w:r w:rsidR="00B31047">
        <w:t>Therefore,</w:t>
      </w:r>
      <w:r w:rsidR="004771B6">
        <w:t xml:space="preserve"> the CBI NST DPM extends the EIOPA Solvency II DPM and the CBI XBRL taxonomy is an extension of the EIOPA Solvency II XBRL Taxonomy. </w:t>
      </w:r>
    </w:p>
    <w:p w:rsidR="00AD3EDA" w:rsidRPr="00AD3EDA" w:rsidRDefault="004771B6" w:rsidP="006A49E2">
      <w:pPr>
        <w:pStyle w:val="BodyCopy"/>
      </w:pPr>
      <w:r>
        <w:t xml:space="preserve">The status of this release is a final publication complete with full list of validations implemented. It is planned to be used for collection of National Specific templates (NST) submissions from </w:t>
      </w:r>
      <w:r w:rsidR="0074352D">
        <w:t xml:space="preserve">the </w:t>
      </w:r>
      <w:r w:rsidR="00955B43">
        <w:t>reporting date 28</w:t>
      </w:r>
      <w:r w:rsidR="00955B43" w:rsidRPr="00955B43">
        <w:rPr>
          <w:vertAlign w:val="superscript"/>
        </w:rPr>
        <w:t>th</w:t>
      </w:r>
      <w:r w:rsidR="00955B43">
        <w:t xml:space="preserve"> February 2023</w:t>
      </w:r>
      <w:r>
        <w:t xml:space="preserve"> onwards.</w:t>
      </w:r>
      <w:r w:rsidR="00C126CE" w:rsidRPr="004B0023">
        <w:t xml:space="preserve">  </w:t>
      </w:r>
    </w:p>
    <w:p w:rsidR="009C27D0" w:rsidRDefault="009C27D0" w:rsidP="004771B6">
      <w:pPr>
        <w:pStyle w:val="CBHeading2"/>
      </w:pPr>
      <w:bookmarkStart w:id="3" w:name="_Toc24034810"/>
    </w:p>
    <w:p w:rsidR="00AD3EDA" w:rsidRDefault="004771B6" w:rsidP="004771B6">
      <w:pPr>
        <w:pStyle w:val="CBHeading2"/>
      </w:pPr>
      <w:r>
        <w:t>Contact and Feedback</w:t>
      </w:r>
      <w:bookmarkEnd w:id="3"/>
    </w:p>
    <w:p w:rsidR="007E2835" w:rsidRDefault="004771B6" w:rsidP="00291654">
      <w:pPr>
        <w:pStyle w:val="BodyCopy"/>
      </w:pPr>
      <w:r w:rsidRPr="004771B6">
        <w:t xml:space="preserve">Interested parties are invited to provide any feedback or questions related to the NST DPM or NST XBRL taxonomy to </w:t>
      </w:r>
      <w:hyperlink r:id="rId15" w:history="1">
        <w:r w:rsidRPr="00456CB7">
          <w:rPr>
            <w:rStyle w:val="Hyperlink"/>
          </w:rPr>
          <w:t>SIITestReturns@centralbank.ie</w:t>
        </w:r>
      </w:hyperlink>
      <w:r w:rsidRPr="004771B6">
        <w:t>.</w:t>
      </w:r>
    </w:p>
    <w:p w:rsidR="009C27D0" w:rsidRDefault="009C27D0" w:rsidP="00E715FD">
      <w:pPr>
        <w:pStyle w:val="CBHeading2"/>
      </w:pPr>
      <w:bookmarkStart w:id="4" w:name="_Toc462063958"/>
      <w:bookmarkStart w:id="5" w:name="_Toc24034811"/>
    </w:p>
    <w:p w:rsidR="004771B6" w:rsidRDefault="004771B6" w:rsidP="00E715FD">
      <w:pPr>
        <w:pStyle w:val="CBHeading2"/>
        <w:rPr>
          <w:lang w:val="en-GB"/>
        </w:rPr>
      </w:pPr>
      <w:r>
        <w:rPr>
          <w:lang w:val="en-GB"/>
        </w:rPr>
        <w:t>National Specific Templates</w:t>
      </w:r>
      <w:bookmarkEnd w:id="4"/>
      <w:bookmarkEnd w:id="5"/>
    </w:p>
    <w:p w:rsidR="004771B6" w:rsidRDefault="004771B6" w:rsidP="004771B6">
      <w:pPr>
        <w:pStyle w:val="BodyCopy"/>
        <w:rPr>
          <w:lang w:val="en-GB"/>
        </w:rPr>
      </w:pPr>
      <w:r w:rsidRPr="004771B6">
        <w:rPr>
          <w:lang w:val="en-GB"/>
        </w:rPr>
        <w:t>This release relates to the set of NSTs previously published on the Central Bank website. The following table outlines the set of templates together with technical specifications.</w:t>
      </w:r>
    </w:p>
    <w:p w:rsidR="004771B6" w:rsidRPr="00FD35A6" w:rsidRDefault="004771B6" w:rsidP="004771B6">
      <w:pPr>
        <w:pStyle w:val="CBChartTitle"/>
      </w:pPr>
      <w:r w:rsidRPr="00FD35A6">
        <w:t xml:space="preserve">Table </w:t>
      </w:r>
      <w:r>
        <w:t>1.</w:t>
      </w:r>
      <w:r w:rsidRPr="00FD35A6">
        <w:t xml:space="preserve"> </w:t>
      </w:r>
      <w:r w:rsidRPr="001C2990">
        <w:rPr>
          <w:rStyle w:val="CBTableTitle0"/>
          <w:color w:val="09506C"/>
        </w:rPr>
        <w:t>|</w:t>
      </w:r>
      <w:r w:rsidRPr="00FD35A6">
        <w:t xml:space="preserve"> </w:t>
      </w:r>
      <w:r w:rsidRPr="004771B6">
        <w:t>Insurance NST information requirements</w:t>
      </w:r>
    </w:p>
    <w:tbl>
      <w:tblPr>
        <w:tblW w:w="4856" w:type="pct"/>
        <w:tblInd w:w="170" w:type="dxa"/>
        <w:tblBorders>
          <w:top w:val="single" w:sz="4" w:space="0" w:color="09506C"/>
          <w:bottom w:val="single" w:sz="4" w:space="0" w:color="09506C"/>
          <w:insideH w:val="single" w:sz="4" w:space="0" w:color="09506C"/>
          <w:insideV w:val="single" w:sz="4" w:space="0" w:color="09506C"/>
        </w:tblBorders>
        <w:tblCellMar>
          <w:top w:w="113" w:type="dxa"/>
          <w:left w:w="170" w:type="dxa"/>
          <w:bottom w:w="113" w:type="dxa"/>
        </w:tblCellMar>
        <w:tblLook w:val="04A0" w:firstRow="1" w:lastRow="0" w:firstColumn="1" w:lastColumn="0" w:noHBand="0" w:noVBand="1"/>
      </w:tblPr>
      <w:tblGrid>
        <w:gridCol w:w="3429"/>
        <w:gridCol w:w="2493"/>
        <w:gridCol w:w="1957"/>
        <w:gridCol w:w="1478"/>
      </w:tblGrid>
      <w:tr w:rsidR="001C2990" w:rsidRPr="001C2990" w:rsidTr="002B5193">
        <w:tc>
          <w:tcPr>
            <w:tcW w:w="1832" w:type="pct"/>
            <w:shd w:val="clear" w:color="auto" w:fill="D4E388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Strong"/>
                <w:rFonts w:ascii="Lato" w:hAnsi="Lato"/>
                <w:color w:val="09506C"/>
                <w:sz w:val="18"/>
                <w:szCs w:val="18"/>
              </w:rPr>
              <w:t>Template No. &amp; Title</w:t>
            </w:r>
          </w:p>
        </w:tc>
        <w:tc>
          <w:tcPr>
            <w:tcW w:w="1332" w:type="pct"/>
            <w:shd w:val="clear" w:color="auto" w:fill="D4E388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Strong"/>
                <w:rFonts w:ascii="Lato" w:hAnsi="Lato"/>
                <w:color w:val="09506C"/>
                <w:sz w:val="18"/>
                <w:szCs w:val="18"/>
              </w:rPr>
              <w:t xml:space="preserve">Applicable To </w:t>
            </w:r>
          </w:p>
        </w:tc>
        <w:tc>
          <w:tcPr>
            <w:tcW w:w="1046" w:type="pct"/>
            <w:shd w:val="clear" w:color="auto" w:fill="D4E388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Strong"/>
                <w:rFonts w:ascii="Lato" w:hAnsi="Lato"/>
                <w:color w:val="09506C"/>
                <w:sz w:val="18"/>
                <w:szCs w:val="18"/>
              </w:rPr>
              <w:t>Frequency of Submission</w:t>
            </w:r>
          </w:p>
        </w:tc>
        <w:tc>
          <w:tcPr>
            <w:tcW w:w="790" w:type="pct"/>
            <w:shd w:val="clear" w:color="auto" w:fill="D4E388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Strong"/>
                <w:rFonts w:ascii="Lato" w:hAnsi="Lato"/>
                <w:color w:val="09506C"/>
                <w:sz w:val="18"/>
                <w:szCs w:val="18"/>
              </w:rPr>
              <w:t>Technical Specification</w:t>
            </w:r>
            <w:r w:rsidRPr="001C2990">
              <w:rPr>
                <w:rFonts w:ascii="Lato" w:hAnsi="Lato"/>
                <w:color w:val="09506C"/>
                <w:sz w:val="18"/>
                <w:szCs w:val="18"/>
              </w:rPr>
              <w:t xml:space="preserve"> </w:t>
            </w:r>
          </w:p>
        </w:tc>
      </w:tr>
      <w:tr w:rsidR="001C2990" w:rsidRPr="001C2990" w:rsidTr="002B5193">
        <w:tc>
          <w:tcPr>
            <w:tcW w:w="1832" w:type="pct"/>
            <w:shd w:val="clear" w:color="auto" w:fill="D9D9D9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Emphasis"/>
                <w:rFonts w:ascii="Lato" w:hAnsi="Lato"/>
                <w:b/>
                <w:bCs/>
                <w:color w:val="09506C"/>
                <w:sz w:val="18"/>
                <w:szCs w:val="18"/>
              </w:rPr>
              <w:t>NST.01.01.01 - Non-Life Income Statement (annual)</w:t>
            </w:r>
          </w:p>
        </w:tc>
        <w:tc>
          <w:tcPr>
            <w:tcW w:w="1332" w:type="pct"/>
            <w:shd w:val="clear" w:color="auto" w:fill="D9D9D9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>HIGH Impact Non-Life individual undertakings</w:t>
            </w:r>
            <w:r w:rsidR="003758DB">
              <w:rPr>
                <w:rFonts w:ascii="Lato" w:hAnsi="Lato"/>
                <w:sz w:val="18"/>
                <w:szCs w:val="18"/>
              </w:rPr>
              <w:t>, branches*</w:t>
            </w:r>
            <w:r w:rsidRPr="001C2990">
              <w:rPr>
                <w:rFonts w:ascii="Lato" w:hAnsi="Lato"/>
                <w:sz w:val="18"/>
                <w:szCs w:val="18"/>
              </w:rPr>
              <w:t xml:space="preserve"> and groups</w:t>
            </w:r>
          </w:p>
        </w:tc>
        <w:tc>
          <w:tcPr>
            <w:tcW w:w="1046" w:type="pct"/>
            <w:shd w:val="clear" w:color="auto" w:fill="D9D9D9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>Annually</w:t>
            </w:r>
          </w:p>
        </w:tc>
        <w:tc>
          <w:tcPr>
            <w:tcW w:w="790" w:type="pct"/>
            <w:shd w:val="clear" w:color="auto" w:fill="D9D9D9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 w:cs="Calibri"/>
                <w:sz w:val="18"/>
                <w:szCs w:val="18"/>
              </w:rPr>
            </w:pPr>
            <w:hyperlink r:id="rId16" w:history="1"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Techni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c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al Spec NST.01.01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.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0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1 </w:t>
              </w:r>
            </w:hyperlink>
          </w:p>
        </w:tc>
      </w:tr>
      <w:tr w:rsidR="001C2990" w:rsidRPr="001C2990" w:rsidTr="002B5193">
        <w:trPr>
          <w:trHeight w:val="509"/>
        </w:trPr>
        <w:tc>
          <w:tcPr>
            <w:tcW w:w="1832" w:type="pct"/>
            <w:shd w:val="clear" w:color="auto" w:fill="auto"/>
          </w:tcPr>
          <w:p w:rsidR="004771B6" w:rsidRPr="001C2990" w:rsidRDefault="004771B6" w:rsidP="007A744D">
            <w:pPr>
              <w:pStyle w:val="NormalWeb"/>
              <w:rPr>
                <w:rStyle w:val="Emphasis"/>
                <w:rFonts w:ascii="Lato" w:hAnsi="Lato"/>
                <w:b/>
                <w:bCs/>
                <w:color w:val="09506C"/>
                <w:sz w:val="18"/>
                <w:szCs w:val="18"/>
              </w:rPr>
            </w:pPr>
            <w:r w:rsidRPr="001C2990">
              <w:rPr>
                <w:rStyle w:val="Emphasis"/>
                <w:rFonts w:ascii="Lato" w:hAnsi="Lato"/>
                <w:b/>
                <w:bCs/>
                <w:color w:val="09506C"/>
                <w:sz w:val="18"/>
                <w:szCs w:val="18"/>
              </w:rPr>
              <w:t>NST.01.01.03 - Non-Life Income Statement (quarterly)</w:t>
            </w:r>
          </w:p>
        </w:tc>
        <w:tc>
          <w:tcPr>
            <w:tcW w:w="1332" w:type="pct"/>
            <w:shd w:val="clear" w:color="auto" w:fill="auto"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>HIGH Impact Non-Life individual undertakings</w:t>
            </w:r>
            <w:r w:rsidR="003758DB">
              <w:rPr>
                <w:rFonts w:ascii="Lato" w:hAnsi="Lato"/>
                <w:sz w:val="18"/>
                <w:szCs w:val="18"/>
              </w:rPr>
              <w:t xml:space="preserve">, branches* </w:t>
            </w:r>
            <w:r w:rsidRPr="001C2990">
              <w:rPr>
                <w:rFonts w:ascii="Lato" w:hAnsi="Lato"/>
                <w:sz w:val="18"/>
                <w:szCs w:val="18"/>
              </w:rPr>
              <w:t>and groups</w:t>
            </w:r>
          </w:p>
        </w:tc>
        <w:tc>
          <w:tcPr>
            <w:tcW w:w="1046" w:type="pct"/>
            <w:shd w:val="clear" w:color="auto" w:fill="auto"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>Quarterly</w:t>
            </w:r>
          </w:p>
        </w:tc>
        <w:tc>
          <w:tcPr>
            <w:tcW w:w="790" w:type="pct"/>
            <w:shd w:val="clear" w:color="auto" w:fill="auto"/>
          </w:tcPr>
          <w:p w:rsidR="004771B6" w:rsidRPr="001C2990" w:rsidRDefault="004771B6" w:rsidP="007A744D">
            <w:pPr>
              <w:pStyle w:val="NormalWeb"/>
              <w:rPr>
                <w:rFonts w:ascii="Lato" w:hAnsi="Lato" w:cs="Calibri"/>
                <w:sz w:val="18"/>
                <w:szCs w:val="18"/>
              </w:rPr>
            </w:pPr>
            <w:hyperlink r:id="rId17" w:history="1"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Techni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c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al Spec NST.01.01.03 </w:t>
              </w:r>
            </w:hyperlink>
          </w:p>
        </w:tc>
      </w:tr>
      <w:tr w:rsidR="001C2990" w:rsidRPr="001C2990" w:rsidTr="002B5193">
        <w:tc>
          <w:tcPr>
            <w:tcW w:w="1832" w:type="pct"/>
            <w:shd w:val="clear" w:color="auto" w:fill="D9D9D9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Emphasis"/>
                <w:rFonts w:ascii="Lato" w:hAnsi="Lato"/>
                <w:b/>
                <w:bCs/>
                <w:color w:val="09506C"/>
                <w:sz w:val="18"/>
                <w:szCs w:val="18"/>
              </w:rPr>
              <w:t>NST.02.01.01 Life Income Statement (annual)</w:t>
            </w:r>
          </w:p>
        </w:tc>
        <w:tc>
          <w:tcPr>
            <w:tcW w:w="1332" w:type="pct"/>
            <w:shd w:val="clear" w:color="auto" w:fill="D9D9D9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>HIGH Impact Life individual undertakings</w:t>
            </w:r>
            <w:r w:rsidR="003758DB">
              <w:rPr>
                <w:rFonts w:ascii="Lato" w:hAnsi="Lato"/>
                <w:sz w:val="18"/>
                <w:szCs w:val="18"/>
              </w:rPr>
              <w:t xml:space="preserve">, branches* </w:t>
            </w:r>
            <w:r w:rsidRPr="001C2990">
              <w:rPr>
                <w:rFonts w:ascii="Lato" w:hAnsi="Lato"/>
                <w:sz w:val="18"/>
                <w:szCs w:val="18"/>
              </w:rPr>
              <w:t xml:space="preserve">and groups </w:t>
            </w:r>
          </w:p>
        </w:tc>
        <w:tc>
          <w:tcPr>
            <w:tcW w:w="1046" w:type="pct"/>
            <w:shd w:val="clear" w:color="auto" w:fill="D9D9D9"/>
            <w:hideMark/>
          </w:tcPr>
          <w:p w:rsidR="004771B6" w:rsidRPr="001C2990" w:rsidRDefault="004771B6" w:rsidP="001C2990">
            <w:pPr>
              <w:pStyle w:val="NormalWeb"/>
              <w:spacing w:before="0" w:beforeAutospacing="0" w:after="0" w:afterAutospacing="0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>Annually</w:t>
            </w:r>
          </w:p>
        </w:tc>
        <w:tc>
          <w:tcPr>
            <w:tcW w:w="790" w:type="pct"/>
            <w:shd w:val="clear" w:color="auto" w:fill="D9D9D9"/>
            <w:hideMark/>
          </w:tcPr>
          <w:p w:rsidR="004771B6" w:rsidRPr="001C2990" w:rsidRDefault="004771B6" w:rsidP="001C2990">
            <w:pPr>
              <w:pStyle w:val="NormalWeb"/>
              <w:spacing w:before="0" w:beforeAutospacing="0" w:after="200" w:afterAutospacing="0"/>
              <w:rPr>
                <w:rFonts w:ascii="Lato" w:hAnsi="Lato" w:cs="Calibri"/>
                <w:sz w:val="18"/>
                <w:szCs w:val="18"/>
              </w:rPr>
            </w:pPr>
            <w:hyperlink r:id="rId18" w:history="1"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Technical Spec NST.02.01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.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01</w:t>
              </w:r>
            </w:hyperlink>
          </w:p>
        </w:tc>
      </w:tr>
      <w:tr w:rsidR="001C2990" w:rsidRPr="001C2990" w:rsidTr="002B5193">
        <w:tc>
          <w:tcPr>
            <w:tcW w:w="1832" w:type="pct"/>
            <w:shd w:val="clear" w:color="auto" w:fill="auto"/>
          </w:tcPr>
          <w:p w:rsidR="004771B6" w:rsidRPr="001C2990" w:rsidRDefault="004771B6" w:rsidP="007A744D">
            <w:pPr>
              <w:pStyle w:val="NormalWeb"/>
              <w:rPr>
                <w:rStyle w:val="Emphasis"/>
                <w:rFonts w:ascii="Lato" w:hAnsi="Lato"/>
                <w:b/>
                <w:bCs/>
                <w:color w:val="09506C"/>
                <w:sz w:val="18"/>
                <w:szCs w:val="18"/>
              </w:rPr>
            </w:pPr>
            <w:r w:rsidRPr="001C2990">
              <w:rPr>
                <w:rStyle w:val="Emphasis"/>
                <w:rFonts w:ascii="Lato" w:hAnsi="Lato"/>
                <w:b/>
                <w:bCs/>
                <w:color w:val="09506C"/>
                <w:sz w:val="18"/>
                <w:szCs w:val="18"/>
              </w:rPr>
              <w:t>NST.02.01.03 Life Income Statement (quarterly)</w:t>
            </w:r>
          </w:p>
        </w:tc>
        <w:tc>
          <w:tcPr>
            <w:tcW w:w="1332" w:type="pct"/>
            <w:shd w:val="clear" w:color="auto" w:fill="auto"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>HIGH Impact Non-Life individual undertakings</w:t>
            </w:r>
            <w:r w:rsidR="003758DB">
              <w:rPr>
                <w:rFonts w:ascii="Lato" w:hAnsi="Lato"/>
                <w:sz w:val="18"/>
                <w:szCs w:val="18"/>
              </w:rPr>
              <w:t>, branches*</w:t>
            </w:r>
            <w:r w:rsidR="003758DB" w:rsidRPr="001C2990">
              <w:rPr>
                <w:rFonts w:ascii="Lato" w:hAnsi="Lato"/>
                <w:sz w:val="18"/>
                <w:szCs w:val="18"/>
              </w:rPr>
              <w:t xml:space="preserve"> </w:t>
            </w:r>
            <w:r w:rsidRPr="001C2990">
              <w:rPr>
                <w:rFonts w:ascii="Lato" w:hAnsi="Lato"/>
                <w:sz w:val="18"/>
                <w:szCs w:val="18"/>
              </w:rPr>
              <w:t>and groups</w:t>
            </w:r>
          </w:p>
        </w:tc>
        <w:tc>
          <w:tcPr>
            <w:tcW w:w="1046" w:type="pct"/>
            <w:shd w:val="clear" w:color="auto" w:fill="auto"/>
          </w:tcPr>
          <w:p w:rsidR="004771B6" w:rsidRPr="001C2990" w:rsidRDefault="004771B6" w:rsidP="001C2990">
            <w:pPr>
              <w:pStyle w:val="NormalWeb"/>
              <w:spacing w:before="0" w:beforeAutospacing="0" w:after="0" w:afterAutospacing="0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>Quarterly</w:t>
            </w:r>
          </w:p>
        </w:tc>
        <w:tc>
          <w:tcPr>
            <w:tcW w:w="790" w:type="pct"/>
            <w:shd w:val="clear" w:color="auto" w:fill="auto"/>
          </w:tcPr>
          <w:p w:rsidR="004771B6" w:rsidRPr="001C2990" w:rsidRDefault="004771B6" w:rsidP="001C2990">
            <w:pPr>
              <w:pStyle w:val="NormalWeb"/>
              <w:spacing w:before="0" w:beforeAutospacing="0" w:after="200" w:afterAutospacing="0"/>
              <w:rPr>
                <w:rFonts w:ascii="Lato" w:hAnsi="Lato" w:cs="Calibri"/>
                <w:sz w:val="18"/>
                <w:szCs w:val="18"/>
              </w:rPr>
            </w:pPr>
            <w:hyperlink r:id="rId19" w:history="1"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Technical Spec NST.02.0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1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.03</w:t>
              </w:r>
            </w:hyperlink>
          </w:p>
        </w:tc>
      </w:tr>
      <w:tr w:rsidR="001C2990" w:rsidRPr="001C2990" w:rsidTr="002B5193">
        <w:tc>
          <w:tcPr>
            <w:tcW w:w="5000" w:type="pct"/>
            <w:gridSpan w:val="4"/>
            <w:shd w:val="clear" w:color="auto" w:fill="D9D9D9"/>
            <w:hideMark/>
          </w:tcPr>
          <w:p w:rsidR="004771B6" w:rsidRPr="001C2990" w:rsidRDefault="004771B6" w:rsidP="001C299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Strong"/>
                <w:rFonts w:ascii="Lato" w:hAnsi="Lato"/>
                <w:color w:val="09506C"/>
                <w:sz w:val="18"/>
                <w:szCs w:val="18"/>
              </w:rPr>
              <w:lastRenderedPageBreak/>
              <w:t>Non-Life Technical Provisions &amp; Claims Templates</w:t>
            </w:r>
          </w:p>
        </w:tc>
      </w:tr>
      <w:tr w:rsidR="001C2990" w:rsidRPr="001C2990" w:rsidTr="002B5193">
        <w:tc>
          <w:tcPr>
            <w:tcW w:w="1832" w:type="pct"/>
            <w:shd w:val="clear" w:color="auto" w:fill="auto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Emphasis"/>
                <w:rFonts w:ascii="Lato" w:hAnsi="Lato"/>
                <w:b/>
                <w:bCs/>
                <w:color w:val="09506C"/>
                <w:sz w:val="18"/>
                <w:szCs w:val="18"/>
              </w:rPr>
              <w:t>NST.03 - Non-Life Technical Provisions - Detailed Split by LOB and Distribution Channel</w:t>
            </w:r>
          </w:p>
        </w:tc>
        <w:tc>
          <w:tcPr>
            <w:tcW w:w="1332" w:type="pct"/>
            <w:shd w:val="clear" w:color="auto" w:fill="auto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>HIGH Impact Non-Life individual undertakings</w:t>
            </w:r>
            <w:r w:rsidR="003758DB">
              <w:rPr>
                <w:rFonts w:ascii="Lato" w:hAnsi="Lato"/>
                <w:sz w:val="18"/>
                <w:szCs w:val="18"/>
              </w:rPr>
              <w:t>, branches*</w:t>
            </w:r>
            <w:r w:rsidRPr="001C2990">
              <w:rPr>
                <w:rFonts w:ascii="Lato" w:hAnsi="Lato"/>
                <w:sz w:val="18"/>
                <w:szCs w:val="18"/>
              </w:rPr>
              <w:t xml:space="preserve"> and groups </w:t>
            </w:r>
          </w:p>
        </w:tc>
        <w:tc>
          <w:tcPr>
            <w:tcW w:w="1046" w:type="pct"/>
            <w:shd w:val="clear" w:color="auto" w:fill="auto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>Twice Annually i.e.</w:t>
            </w:r>
            <w:r w:rsidR="00FD09CB" w:rsidRPr="001C2990">
              <w:rPr>
                <w:rFonts w:ascii="Lato" w:hAnsi="Lato"/>
                <w:sz w:val="18"/>
                <w:szCs w:val="18"/>
              </w:rPr>
              <w:t xml:space="preserve"> after Quarter 2 and Quarter 4 </w:t>
            </w:r>
          </w:p>
        </w:tc>
        <w:tc>
          <w:tcPr>
            <w:tcW w:w="790" w:type="pct"/>
            <w:shd w:val="clear" w:color="auto" w:fill="auto"/>
          </w:tcPr>
          <w:p w:rsidR="004771B6" w:rsidRPr="001C2990" w:rsidRDefault="004771B6" w:rsidP="007A744D">
            <w:pPr>
              <w:pStyle w:val="NormalWeb"/>
              <w:rPr>
                <w:rFonts w:ascii="Lato" w:hAnsi="Lato" w:cs="Calibri"/>
                <w:sz w:val="18"/>
                <w:szCs w:val="18"/>
              </w:rPr>
            </w:pPr>
            <w:hyperlink r:id="rId20" w:tooltip="Technical Spec NST.03" w:history="1"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Techni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c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al Spec NST.03</w:t>
              </w:r>
            </w:hyperlink>
          </w:p>
        </w:tc>
      </w:tr>
      <w:tr w:rsidR="001C2990" w:rsidRPr="001C2990" w:rsidTr="002B5193">
        <w:tc>
          <w:tcPr>
            <w:tcW w:w="1832" w:type="pct"/>
            <w:shd w:val="clear" w:color="auto" w:fill="D9D9D9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Emphasis"/>
                <w:rFonts w:ascii="Lato" w:hAnsi="Lato"/>
                <w:b/>
                <w:bCs/>
                <w:color w:val="09506C"/>
                <w:sz w:val="18"/>
                <w:szCs w:val="18"/>
              </w:rPr>
              <w:t>NST.04 - Non-Life Technical Provisions - Detailed Split by LOB and Country</w:t>
            </w:r>
          </w:p>
        </w:tc>
        <w:tc>
          <w:tcPr>
            <w:tcW w:w="1332" w:type="pct"/>
            <w:shd w:val="clear" w:color="auto" w:fill="D9D9D9"/>
            <w:hideMark/>
          </w:tcPr>
          <w:p w:rsidR="004771B6" w:rsidRPr="001C2990" w:rsidRDefault="004771B6" w:rsidP="003F176A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 xml:space="preserve">HIGH Impact Non-Life individual undertakings and groups </w:t>
            </w:r>
          </w:p>
        </w:tc>
        <w:tc>
          <w:tcPr>
            <w:tcW w:w="1046" w:type="pct"/>
            <w:shd w:val="clear" w:color="auto" w:fill="D9D9D9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 xml:space="preserve">Twice Annually i.e. after Quarter 2 and Quarter 4 </w:t>
            </w:r>
          </w:p>
        </w:tc>
        <w:tc>
          <w:tcPr>
            <w:tcW w:w="790" w:type="pct"/>
            <w:shd w:val="clear" w:color="auto" w:fill="D9D9D9"/>
          </w:tcPr>
          <w:p w:rsidR="004771B6" w:rsidRPr="001C2990" w:rsidRDefault="004771B6" w:rsidP="007A744D">
            <w:pPr>
              <w:pStyle w:val="NormalWeb"/>
              <w:rPr>
                <w:rFonts w:ascii="Lato" w:hAnsi="Lato" w:cs="Calibri"/>
                <w:sz w:val="18"/>
                <w:szCs w:val="18"/>
              </w:rPr>
            </w:pPr>
            <w:hyperlink r:id="rId21" w:tooltip="Technical Spec NST.04&amp;nbsp;" w:history="1"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Technical Spec NST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.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04 </w:t>
              </w:r>
            </w:hyperlink>
          </w:p>
        </w:tc>
      </w:tr>
      <w:tr w:rsidR="001C2990" w:rsidRPr="001C2990" w:rsidTr="002B5193">
        <w:tc>
          <w:tcPr>
            <w:tcW w:w="1832" w:type="pct"/>
            <w:shd w:val="clear" w:color="auto" w:fill="auto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Emphasis"/>
                <w:rFonts w:ascii="Lato" w:hAnsi="Lato"/>
                <w:b/>
                <w:bCs/>
                <w:color w:val="09506C"/>
                <w:sz w:val="18"/>
                <w:szCs w:val="18"/>
              </w:rPr>
              <w:t>NST.05 - Non-Life - Projection of Future Cash Flows (Best Estimate) Detailed Split</w:t>
            </w:r>
            <w:r w:rsidRPr="001C2990">
              <w:rPr>
                <w:rFonts w:ascii="Lato" w:hAnsi="Lato"/>
                <w:color w:val="09506C"/>
                <w:sz w:val="18"/>
                <w:szCs w:val="18"/>
              </w:rPr>
              <w:t xml:space="preserve"> </w:t>
            </w:r>
          </w:p>
        </w:tc>
        <w:tc>
          <w:tcPr>
            <w:tcW w:w="1332" w:type="pct"/>
            <w:shd w:val="clear" w:color="auto" w:fill="auto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>HIGH Impact Non-Life individual undertakings</w:t>
            </w:r>
            <w:r w:rsidR="003758DB">
              <w:rPr>
                <w:rFonts w:ascii="Lato" w:hAnsi="Lato"/>
                <w:sz w:val="18"/>
                <w:szCs w:val="18"/>
              </w:rPr>
              <w:t>, branches*</w:t>
            </w:r>
            <w:r w:rsidRPr="001C2990">
              <w:rPr>
                <w:rFonts w:ascii="Lato" w:hAnsi="Lato"/>
                <w:sz w:val="18"/>
                <w:szCs w:val="18"/>
              </w:rPr>
              <w:t xml:space="preserve"> and groups </w:t>
            </w:r>
          </w:p>
        </w:tc>
        <w:tc>
          <w:tcPr>
            <w:tcW w:w="1046" w:type="pct"/>
            <w:shd w:val="clear" w:color="auto" w:fill="auto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 xml:space="preserve">Twice Annually i.e. after Quarter 2 and Quarter 4 </w:t>
            </w:r>
          </w:p>
        </w:tc>
        <w:tc>
          <w:tcPr>
            <w:tcW w:w="790" w:type="pct"/>
            <w:shd w:val="clear" w:color="auto" w:fill="auto"/>
          </w:tcPr>
          <w:p w:rsidR="004771B6" w:rsidRPr="001C2990" w:rsidRDefault="004771B6" w:rsidP="007A744D">
            <w:pPr>
              <w:pStyle w:val="NormalWeb"/>
              <w:rPr>
                <w:rFonts w:ascii="Lato" w:hAnsi="Lato" w:cs="Calibri"/>
                <w:sz w:val="18"/>
                <w:szCs w:val="18"/>
              </w:rPr>
            </w:pPr>
            <w:hyperlink r:id="rId22" w:tooltip="Technical Spec NST.05&amp;nbsp;" w:history="1"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Technical Spec NST.0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5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 </w:t>
              </w:r>
            </w:hyperlink>
          </w:p>
        </w:tc>
      </w:tr>
      <w:tr w:rsidR="001C2990" w:rsidRPr="001C2990" w:rsidTr="002B5193">
        <w:tc>
          <w:tcPr>
            <w:tcW w:w="1832" w:type="pct"/>
            <w:shd w:val="clear" w:color="auto" w:fill="D9D9D9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Emphasis"/>
                <w:rFonts w:ascii="Lato" w:hAnsi="Lato"/>
                <w:b/>
                <w:bCs/>
                <w:color w:val="09506C"/>
                <w:sz w:val="18"/>
                <w:szCs w:val="18"/>
              </w:rPr>
              <w:t>NST.06 - Non-Life Insurance Claims Information - Detailed Split by Distribution Channel &amp; Claims Type</w:t>
            </w:r>
            <w:r w:rsidRPr="001C2990">
              <w:rPr>
                <w:rFonts w:ascii="Lato" w:hAnsi="Lato"/>
                <w:color w:val="09506C"/>
                <w:sz w:val="18"/>
                <w:szCs w:val="18"/>
              </w:rPr>
              <w:t xml:space="preserve"> </w:t>
            </w:r>
          </w:p>
        </w:tc>
        <w:tc>
          <w:tcPr>
            <w:tcW w:w="1332" w:type="pct"/>
            <w:shd w:val="clear" w:color="auto" w:fill="D9D9D9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>HIGH Impact Non-Life individual undertakings</w:t>
            </w:r>
            <w:r w:rsidR="003758DB">
              <w:rPr>
                <w:rFonts w:ascii="Lato" w:hAnsi="Lato"/>
                <w:sz w:val="18"/>
                <w:szCs w:val="18"/>
              </w:rPr>
              <w:t>, branches*</w:t>
            </w:r>
            <w:r w:rsidRPr="001C2990">
              <w:rPr>
                <w:rFonts w:ascii="Lato" w:hAnsi="Lato"/>
                <w:sz w:val="18"/>
                <w:szCs w:val="18"/>
              </w:rPr>
              <w:t xml:space="preserve"> and groups </w:t>
            </w:r>
          </w:p>
        </w:tc>
        <w:tc>
          <w:tcPr>
            <w:tcW w:w="1046" w:type="pct"/>
            <w:shd w:val="clear" w:color="auto" w:fill="D9D9D9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 xml:space="preserve">Twice Annually i.e. after Quarter 2 and Quarter 4 </w:t>
            </w:r>
          </w:p>
        </w:tc>
        <w:tc>
          <w:tcPr>
            <w:tcW w:w="790" w:type="pct"/>
            <w:shd w:val="clear" w:color="auto" w:fill="D9D9D9"/>
          </w:tcPr>
          <w:p w:rsidR="004771B6" w:rsidRPr="001C2990" w:rsidRDefault="004771B6" w:rsidP="007A744D">
            <w:pPr>
              <w:pStyle w:val="NormalWeb"/>
              <w:rPr>
                <w:rFonts w:ascii="Lato" w:hAnsi="Lato" w:cs="Calibri"/>
                <w:sz w:val="18"/>
                <w:szCs w:val="18"/>
              </w:rPr>
            </w:pPr>
            <w:hyperlink r:id="rId23" w:tooltip="Technical Spec NST.06&amp;nbsp;" w:history="1"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Technical Spec NST.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0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6 </w:t>
              </w:r>
            </w:hyperlink>
          </w:p>
        </w:tc>
      </w:tr>
      <w:tr w:rsidR="001C2990" w:rsidRPr="001C2990" w:rsidTr="002B5193">
        <w:tc>
          <w:tcPr>
            <w:tcW w:w="1832" w:type="pct"/>
            <w:shd w:val="clear" w:color="auto" w:fill="auto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Emphasis"/>
                <w:rFonts w:ascii="Lato" w:hAnsi="Lato"/>
                <w:b/>
                <w:bCs/>
                <w:color w:val="09506C"/>
                <w:sz w:val="18"/>
                <w:szCs w:val="18"/>
              </w:rPr>
              <w:t>NST.07 - Non-Life Premiums, Claims &amp; Expenses - Detailed Split by LOB &amp; Distribution Channel</w:t>
            </w:r>
            <w:r w:rsidRPr="001C2990">
              <w:rPr>
                <w:rFonts w:ascii="Lato" w:hAnsi="Lato"/>
                <w:color w:val="09506C"/>
                <w:sz w:val="18"/>
                <w:szCs w:val="18"/>
              </w:rPr>
              <w:t xml:space="preserve"> </w:t>
            </w:r>
          </w:p>
        </w:tc>
        <w:tc>
          <w:tcPr>
            <w:tcW w:w="1332" w:type="pct"/>
            <w:shd w:val="clear" w:color="auto" w:fill="auto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>HIGH Impact Non-Life individual undertakings</w:t>
            </w:r>
            <w:r w:rsidR="003758DB">
              <w:rPr>
                <w:rFonts w:ascii="Lato" w:hAnsi="Lato"/>
                <w:sz w:val="18"/>
                <w:szCs w:val="18"/>
              </w:rPr>
              <w:t>, branches*</w:t>
            </w:r>
            <w:r w:rsidRPr="001C2990">
              <w:rPr>
                <w:rFonts w:ascii="Lato" w:hAnsi="Lato"/>
                <w:sz w:val="18"/>
                <w:szCs w:val="18"/>
              </w:rPr>
              <w:t xml:space="preserve"> and groups </w:t>
            </w:r>
          </w:p>
        </w:tc>
        <w:tc>
          <w:tcPr>
            <w:tcW w:w="1046" w:type="pct"/>
            <w:shd w:val="clear" w:color="auto" w:fill="auto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 xml:space="preserve">Twice Annually i.e. after Quarter 2 and Quarter 4 </w:t>
            </w:r>
          </w:p>
        </w:tc>
        <w:tc>
          <w:tcPr>
            <w:tcW w:w="790" w:type="pct"/>
            <w:shd w:val="clear" w:color="auto" w:fill="auto"/>
          </w:tcPr>
          <w:p w:rsidR="004771B6" w:rsidRPr="001C2990" w:rsidRDefault="004771B6" w:rsidP="007A744D">
            <w:pPr>
              <w:pStyle w:val="NormalWeb"/>
              <w:rPr>
                <w:rFonts w:ascii="Lato" w:hAnsi="Lato" w:cs="Calibri"/>
                <w:sz w:val="18"/>
                <w:szCs w:val="18"/>
              </w:rPr>
            </w:pPr>
            <w:hyperlink r:id="rId24" w:tooltip="Technical Spec NST.07&amp;nbsp;" w:history="1"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Tec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h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nical Spec NST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.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07 </w:t>
              </w:r>
            </w:hyperlink>
          </w:p>
        </w:tc>
      </w:tr>
      <w:tr w:rsidR="001C2990" w:rsidRPr="001C2990" w:rsidTr="002B5193">
        <w:tc>
          <w:tcPr>
            <w:tcW w:w="5000" w:type="pct"/>
            <w:gridSpan w:val="4"/>
            <w:shd w:val="clear" w:color="auto" w:fill="D9D9D9"/>
          </w:tcPr>
          <w:p w:rsidR="004771B6" w:rsidRPr="001C2990" w:rsidRDefault="004771B6" w:rsidP="001C2990">
            <w:pPr>
              <w:pStyle w:val="NormalWeb"/>
              <w:jc w:val="center"/>
              <w:rPr>
                <w:rFonts w:ascii="Lato" w:hAnsi="Lato" w:cs="Calibri"/>
                <w:color w:val="363636"/>
                <w:sz w:val="18"/>
                <w:szCs w:val="18"/>
              </w:rPr>
            </w:pPr>
            <w:r w:rsidRPr="001C2990">
              <w:rPr>
                <w:rFonts w:ascii="Lato" w:hAnsi="Lato" w:cs="Calibri"/>
                <w:b/>
                <w:color w:val="363636"/>
                <w:sz w:val="18"/>
                <w:szCs w:val="18"/>
              </w:rPr>
              <w:t>Note:</w:t>
            </w:r>
            <w:r w:rsidRPr="001C2990">
              <w:rPr>
                <w:rFonts w:ascii="Lato" w:hAnsi="Lato" w:cs="Calibri"/>
                <w:color w:val="363636"/>
                <w:sz w:val="18"/>
                <w:szCs w:val="18"/>
              </w:rPr>
              <w:t xml:space="preserve"> Reinsurance undertakings are not subject to National Specific Templates .01 to .07 above</w:t>
            </w:r>
          </w:p>
        </w:tc>
      </w:tr>
      <w:tr w:rsidR="001C2990" w:rsidRPr="001C2990" w:rsidTr="002B5193">
        <w:tc>
          <w:tcPr>
            <w:tcW w:w="5000" w:type="pct"/>
            <w:gridSpan w:val="4"/>
            <w:shd w:val="clear" w:color="auto" w:fill="auto"/>
            <w:hideMark/>
          </w:tcPr>
          <w:p w:rsidR="004771B6" w:rsidRPr="001C2990" w:rsidRDefault="004771B6" w:rsidP="001C2990">
            <w:pPr>
              <w:pStyle w:val="NormalWeb"/>
              <w:jc w:val="center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Strong"/>
                <w:rFonts w:ascii="Lato" w:hAnsi="Lato"/>
                <w:color w:val="09506C"/>
                <w:sz w:val="18"/>
                <w:szCs w:val="18"/>
              </w:rPr>
              <w:t>Variable Annuity Templates</w:t>
            </w:r>
          </w:p>
        </w:tc>
      </w:tr>
      <w:tr w:rsidR="001C2990" w:rsidRPr="001C2990" w:rsidTr="002B5193">
        <w:tc>
          <w:tcPr>
            <w:tcW w:w="1832" w:type="pct"/>
            <w:shd w:val="clear" w:color="auto" w:fill="D9D9D9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Emphasis"/>
                <w:rFonts w:ascii="Lato" w:hAnsi="Lato"/>
                <w:b/>
                <w:bCs/>
                <w:color w:val="09506C"/>
                <w:sz w:val="18"/>
                <w:szCs w:val="18"/>
              </w:rPr>
              <w:t>NST.08 - Variable Annuity P&amp;L Attribution - Liability</w:t>
            </w:r>
            <w:r w:rsidRPr="001C2990">
              <w:rPr>
                <w:rFonts w:ascii="Lato" w:hAnsi="Lato"/>
                <w:color w:val="09506C"/>
                <w:sz w:val="18"/>
                <w:szCs w:val="18"/>
              </w:rPr>
              <w:t xml:space="preserve"> </w:t>
            </w:r>
          </w:p>
        </w:tc>
        <w:tc>
          <w:tcPr>
            <w:tcW w:w="1332" w:type="pct"/>
            <w:vMerge w:val="restart"/>
            <w:shd w:val="clear" w:color="auto" w:fill="D9D9D9"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>See requirement 1.2.1 of the corresponding technical specification documents.</w:t>
            </w:r>
          </w:p>
        </w:tc>
        <w:tc>
          <w:tcPr>
            <w:tcW w:w="1046" w:type="pct"/>
            <w:shd w:val="clear" w:color="auto" w:fill="D9D9D9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>Quarterly</w:t>
            </w:r>
          </w:p>
        </w:tc>
        <w:tc>
          <w:tcPr>
            <w:tcW w:w="790" w:type="pct"/>
            <w:vMerge w:val="restart"/>
            <w:shd w:val="clear" w:color="auto" w:fill="D9D9D9"/>
          </w:tcPr>
          <w:p w:rsidR="004771B6" w:rsidRPr="001C2990" w:rsidRDefault="004771B6" w:rsidP="007A744D">
            <w:pPr>
              <w:pStyle w:val="NormalWeb"/>
              <w:rPr>
                <w:rFonts w:ascii="Lato" w:hAnsi="Lato" w:cs="Calibri"/>
                <w:sz w:val="18"/>
                <w:szCs w:val="18"/>
              </w:rPr>
            </w:pPr>
            <w:hyperlink r:id="rId25" w:tooltip="NST's 08-10 - Technical Specification" w:history="1"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NST's 08-10 - Technic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a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l Specification</w:t>
              </w:r>
            </w:hyperlink>
          </w:p>
        </w:tc>
      </w:tr>
      <w:tr w:rsidR="001C2990" w:rsidRPr="001C2990" w:rsidTr="002B5193">
        <w:tc>
          <w:tcPr>
            <w:tcW w:w="1832" w:type="pct"/>
            <w:shd w:val="clear" w:color="auto" w:fill="auto"/>
            <w:hideMark/>
          </w:tcPr>
          <w:p w:rsidR="004771B6" w:rsidRPr="001C2990" w:rsidRDefault="004771B6" w:rsidP="001C2990">
            <w:pPr>
              <w:pStyle w:val="NormalWeb"/>
              <w:spacing w:before="0" w:beforeAutospacing="0" w:after="0" w:afterAutospacing="0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Emphasis"/>
                <w:rFonts w:ascii="Lato" w:hAnsi="Lato"/>
                <w:b/>
                <w:bCs/>
                <w:color w:val="09506C"/>
                <w:sz w:val="18"/>
                <w:szCs w:val="18"/>
              </w:rPr>
              <w:t>NST.09 - Variable Annuity P&amp;L Attribution - Asset</w:t>
            </w:r>
            <w:r w:rsidRPr="001C2990">
              <w:rPr>
                <w:rFonts w:ascii="Lato" w:hAnsi="Lato"/>
                <w:color w:val="09506C"/>
                <w:sz w:val="18"/>
                <w:szCs w:val="18"/>
              </w:rPr>
              <w:t xml:space="preserve"> </w:t>
            </w:r>
          </w:p>
        </w:tc>
        <w:tc>
          <w:tcPr>
            <w:tcW w:w="1332" w:type="pct"/>
            <w:vMerge/>
            <w:shd w:val="clear" w:color="auto" w:fill="auto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046" w:type="pct"/>
            <w:shd w:val="clear" w:color="auto" w:fill="auto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>Quarterly </w:t>
            </w:r>
          </w:p>
        </w:tc>
        <w:tc>
          <w:tcPr>
            <w:tcW w:w="790" w:type="pct"/>
            <w:vMerge/>
            <w:shd w:val="clear" w:color="auto" w:fill="auto"/>
          </w:tcPr>
          <w:p w:rsidR="004771B6" w:rsidRPr="001C2990" w:rsidRDefault="004771B6" w:rsidP="001C299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1C2990" w:rsidRPr="001C2990" w:rsidTr="002B5193">
        <w:trPr>
          <w:trHeight w:val="199"/>
        </w:trPr>
        <w:tc>
          <w:tcPr>
            <w:tcW w:w="1832" w:type="pct"/>
            <w:shd w:val="clear" w:color="auto" w:fill="D9D9D9"/>
            <w:hideMark/>
          </w:tcPr>
          <w:p w:rsidR="004771B6" w:rsidRPr="001C2990" w:rsidRDefault="004771B6" w:rsidP="001C2990">
            <w:pPr>
              <w:pStyle w:val="NormalWeb"/>
              <w:spacing w:before="0" w:beforeAutospacing="0" w:after="0" w:afterAutospacing="0" w:line="199" w:lineRule="atLeast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Emphasis"/>
                <w:rFonts w:ascii="Lato" w:hAnsi="Lato"/>
                <w:b/>
                <w:bCs/>
                <w:color w:val="09506C"/>
                <w:sz w:val="18"/>
                <w:szCs w:val="18"/>
              </w:rPr>
              <w:t>NST.10 - Variable Annuity P&amp;L Attribution - Other</w:t>
            </w:r>
          </w:p>
        </w:tc>
        <w:tc>
          <w:tcPr>
            <w:tcW w:w="1332" w:type="pct"/>
            <w:vMerge/>
            <w:shd w:val="clear" w:color="auto" w:fill="D9D9D9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046" w:type="pct"/>
            <w:shd w:val="clear" w:color="auto" w:fill="D9D9D9"/>
            <w:hideMark/>
          </w:tcPr>
          <w:p w:rsidR="004771B6" w:rsidRPr="001C2990" w:rsidRDefault="004771B6" w:rsidP="001C2990">
            <w:pPr>
              <w:pStyle w:val="NormalWeb"/>
              <w:spacing w:line="199" w:lineRule="atLeast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>Quarterly </w:t>
            </w:r>
          </w:p>
        </w:tc>
        <w:tc>
          <w:tcPr>
            <w:tcW w:w="790" w:type="pct"/>
            <w:vMerge/>
            <w:shd w:val="clear" w:color="auto" w:fill="D9D9D9"/>
          </w:tcPr>
          <w:p w:rsidR="004771B6" w:rsidRPr="001C2990" w:rsidRDefault="004771B6" w:rsidP="001C299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1C2990" w:rsidRPr="001C2990" w:rsidTr="002B5193">
        <w:tc>
          <w:tcPr>
            <w:tcW w:w="1832" w:type="pct"/>
            <w:shd w:val="clear" w:color="auto" w:fill="auto"/>
            <w:hideMark/>
          </w:tcPr>
          <w:p w:rsidR="004771B6" w:rsidRPr="001C2990" w:rsidRDefault="004771B6" w:rsidP="001C2990">
            <w:pPr>
              <w:pStyle w:val="NormalWeb"/>
              <w:spacing w:before="0" w:beforeAutospacing="0" w:after="0" w:afterAutospacing="0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Emphasis"/>
                <w:rFonts w:ascii="Lato" w:hAnsi="Lato"/>
                <w:b/>
                <w:bCs/>
                <w:color w:val="09506C"/>
                <w:sz w:val="18"/>
                <w:szCs w:val="18"/>
              </w:rPr>
              <w:t>NST.11 - Variable Annuity Stress Tests</w:t>
            </w:r>
          </w:p>
        </w:tc>
        <w:tc>
          <w:tcPr>
            <w:tcW w:w="1332" w:type="pct"/>
            <w:vMerge/>
            <w:shd w:val="clear" w:color="auto" w:fill="auto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046" w:type="pct"/>
            <w:shd w:val="clear" w:color="auto" w:fill="auto"/>
            <w:hideMark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>Q2 Only</w:t>
            </w:r>
          </w:p>
        </w:tc>
        <w:tc>
          <w:tcPr>
            <w:tcW w:w="790" w:type="pct"/>
            <w:shd w:val="clear" w:color="auto" w:fill="auto"/>
          </w:tcPr>
          <w:p w:rsidR="004771B6" w:rsidRPr="001C2990" w:rsidRDefault="004771B6" w:rsidP="007A744D">
            <w:pPr>
              <w:pStyle w:val="NormalWeb"/>
              <w:rPr>
                <w:rFonts w:ascii="Lato" w:hAnsi="Lato" w:cs="Calibri"/>
                <w:sz w:val="18"/>
                <w:szCs w:val="18"/>
              </w:rPr>
            </w:pPr>
            <w:hyperlink r:id="rId26" w:tooltip="NST.11 - Technical Specification&amp;nbsp;" w:history="1"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NST.11 - Tec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h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n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ic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a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l Specification </w:t>
              </w:r>
            </w:hyperlink>
          </w:p>
        </w:tc>
      </w:tr>
      <w:tr w:rsidR="001C2990" w:rsidRPr="001C2990" w:rsidTr="002B5193">
        <w:trPr>
          <w:trHeight w:val="229"/>
        </w:trPr>
        <w:tc>
          <w:tcPr>
            <w:tcW w:w="5000" w:type="pct"/>
            <w:gridSpan w:val="4"/>
            <w:shd w:val="clear" w:color="auto" w:fill="D9D9D9"/>
          </w:tcPr>
          <w:p w:rsidR="004771B6" w:rsidRPr="001C2990" w:rsidRDefault="004771B6" w:rsidP="001C299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Calibri"/>
                <w:color w:val="09506C"/>
                <w:sz w:val="18"/>
                <w:szCs w:val="18"/>
              </w:rPr>
            </w:pPr>
            <w:r w:rsidRPr="001C2990">
              <w:rPr>
                <w:rStyle w:val="Strong"/>
                <w:rFonts w:ascii="Lato" w:hAnsi="Lato" w:cs="Calibri"/>
                <w:color w:val="09506C"/>
                <w:sz w:val="18"/>
                <w:szCs w:val="18"/>
              </w:rPr>
              <w:t>Non-Life business Policy &amp; Customer Information</w:t>
            </w:r>
          </w:p>
        </w:tc>
      </w:tr>
      <w:tr w:rsidR="001C2990" w:rsidRPr="001C2990" w:rsidTr="002B5193">
        <w:tc>
          <w:tcPr>
            <w:tcW w:w="1832" w:type="pct"/>
            <w:shd w:val="clear" w:color="auto" w:fill="auto"/>
          </w:tcPr>
          <w:p w:rsidR="004771B6" w:rsidRPr="001C2990" w:rsidRDefault="004771B6" w:rsidP="001C2990">
            <w:pPr>
              <w:pStyle w:val="NormalWeb"/>
              <w:spacing w:before="0" w:beforeAutospacing="0" w:after="0" w:afterAutospacing="0"/>
              <w:rPr>
                <w:rStyle w:val="Emphasis"/>
                <w:rFonts w:ascii="Lato" w:hAnsi="Lato"/>
                <w:b/>
                <w:bCs/>
                <w:color w:val="09506C"/>
                <w:sz w:val="18"/>
                <w:szCs w:val="18"/>
              </w:rPr>
            </w:pPr>
            <w:r w:rsidRPr="001C2990">
              <w:rPr>
                <w:rStyle w:val="Emphasis"/>
                <w:rFonts w:ascii="Lato" w:hAnsi="Lato"/>
                <w:b/>
                <w:bCs/>
                <w:color w:val="09506C"/>
                <w:sz w:val="18"/>
                <w:szCs w:val="18"/>
              </w:rPr>
              <w:t>NST.14 - Non-Life Policy &amp; Customer Information</w:t>
            </w:r>
          </w:p>
        </w:tc>
        <w:tc>
          <w:tcPr>
            <w:tcW w:w="1332" w:type="pct"/>
            <w:shd w:val="clear" w:color="auto" w:fill="auto"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>ALL Non-Life Individual undertakings</w:t>
            </w:r>
            <w:r w:rsidR="003758DB">
              <w:rPr>
                <w:rFonts w:ascii="Lato" w:hAnsi="Lato"/>
                <w:sz w:val="18"/>
                <w:szCs w:val="18"/>
              </w:rPr>
              <w:t xml:space="preserve"> and Third Country Branches</w:t>
            </w:r>
          </w:p>
        </w:tc>
        <w:tc>
          <w:tcPr>
            <w:tcW w:w="1046" w:type="pct"/>
            <w:shd w:val="clear" w:color="auto" w:fill="auto"/>
          </w:tcPr>
          <w:p w:rsidR="004771B6" w:rsidRPr="001C2990" w:rsidRDefault="004771B6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>Quarterly</w:t>
            </w:r>
          </w:p>
        </w:tc>
        <w:tc>
          <w:tcPr>
            <w:tcW w:w="790" w:type="pct"/>
            <w:shd w:val="clear" w:color="auto" w:fill="auto"/>
          </w:tcPr>
          <w:p w:rsidR="004771B6" w:rsidRPr="001C2990" w:rsidRDefault="004771B6" w:rsidP="00940BAD">
            <w:pPr>
              <w:pStyle w:val="NormalWeb"/>
              <w:rPr>
                <w:rFonts w:ascii="Lato" w:hAnsi="Lato" w:cs="Calibri"/>
                <w:sz w:val="18"/>
                <w:szCs w:val="18"/>
              </w:rPr>
            </w:pPr>
            <w:hyperlink r:id="rId27" w:history="1"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 xml:space="preserve">NST.14 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T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e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c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hnical Specification</w:t>
              </w:r>
            </w:hyperlink>
            <w:r w:rsidRPr="001C2990">
              <w:rPr>
                <w:rFonts w:ascii="Lato" w:hAnsi="Lato" w:cs="Calibri"/>
                <w:color w:val="363636"/>
                <w:sz w:val="18"/>
                <w:szCs w:val="18"/>
              </w:rPr>
              <w:t> </w:t>
            </w:r>
          </w:p>
        </w:tc>
      </w:tr>
      <w:tr w:rsidR="001C2990" w:rsidRPr="001C2990" w:rsidTr="002B5193">
        <w:tc>
          <w:tcPr>
            <w:tcW w:w="5000" w:type="pct"/>
            <w:gridSpan w:val="4"/>
            <w:shd w:val="clear" w:color="auto" w:fill="D9D9D9"/>
          </w:tcPr>
          <w:p w:rsidR="004771B6" w:rsidRPr="001C2990" w:rsidRDefault="004771B6" w:rsidP="001C2990">
            <w:pPr>
              <w:pStyle w:val="NormalWeb"/>
              <w:jc w:val="center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Fonts w:ascii="Lato" w:hAnsi="Lato"/>
                <w:b/>
                <w:color w:val="09506C"/>
                <w:sz w:val="18"/>
                <w:szCs w:val="18"/>
              </w:rPr>
              <w:t>Note:</w:t>
            </w:r>
            <w:r w:rsidRPr="001C2990">
              <w:rPr>
                <w:rFonts w:ascii="Lato" w:hAnsi="Lato"/>
                <w:color w:val="09506C"/>
                <w:sz w:val="18"/>
                <w:szCs w:val="18"/>
              </w:rPr>
              <w:t xml:space="preserve"> Reinsurance undertakings are not subject to National Specific Template .14</w:t>
            </w:r>
          </w:p>
        </w:tc>
      </w:tr>
    </w:tbl>
    <w:p w:rsidR="00FD09CB" w:rsidRDefault="003758DB" w:rsidP="003F176A">
      <w:pPr>
        <w:spacing w:line="259" w:lineRule="auto"/>
        <w:rPr>
          <w:lang w:val="en-GB"/>
        </w:rPr>
      </w:pPr>
      <w:r w:rsidRPr="00524480">
        <w:rPr>
          <w:lang w:val="en-GB"/>
        </w:rPr>
        <w:t>(*Branches above th</w:t>
      </w:r>
      <w:r>
        <w:rPr>
          <w:lang w:val="en-GB"/>
        </w:rPr>
        <w:t>e threshold.)</w:t>
      </w:r>
    </w:p>
    <w:p w:rsidR="004771B6" w:rsidRPr="009C27D0" w:rsidRDefault="004771B6" w:rsidP="009C27D0">
      <w:pPr>
        <w:pStyle w:val="CBChartTitle"/>
      </w:pPr>
      <w:r w:rsidRPr="00FD35A6">
        <w:t xml:space="preserve">Table </w:t>
      </w:r>
      <w:r>
        <w:t>2.</w:t>
      </w:r>
      <w:r w:rsidRPr="00FD35A6">
        <w:t xml:space="preserve"> </w:t>
      </w:r>
      <w:r w:rsidRPr="009C27D0">
        <w:t>|</w:t>
      </w:r>
      <w:r w:rsidRPr="00FD35A6">
        <w:t xml:space="preserve"> </w:t>
      </w:r>
      <w:r w:rsidR="00FD09CB" w:rsidRPr="00FD09CB">
        <w:t>Statistics NST information requirements</w:t>
      </w:r>
    </w:p>
    <w:tbl>
      <w:tblPr>
        <w:tblW w:w="5000" w:type="pct"/>
        <w:tblBorders>
          <w:top w:val="single" w:sz="4" w:space="0" w:color="09506C"/>
          <w:bottom w:val="single" w:sz="4" w:space="0" w:color="09506C"/>
          <w:insideH w:val="single" w:sz="4" w:space="0" w:color="09506C"/>
          <w:insideV w:val="single" w:sz="4" w:space="0" w:color="09506C"/>
        </w:tblBorders>
        <w:tblCellMar>
          <w:top w:w="113" w:type="dxa"/>
          <w:left w:w="170" w:type="dxa"/>
          <w:bottom w:w="113" w:type="dxa"/>
        </w:tblCellMar>
        <w:tblLook w:val="04A0" w:firstRow="1" w:lastRow="0" w:firstColumn="1" w:lastColumn="0" w:noHBand="0" w:noVBand="1"/>
      </w:tblPr>
      <w:tblGrid>
        <w:gridCol w:w="3428"/>
        <w:gridCol w:w="2520"/>
        <w:gridCol w:w="1499"/>
        <w:gridCol w:w="2187"/>
      </w:tblGrid>
      <w:tr w:rsidR="00FD09CB" w:rsidRPr="001C2990" w:rsidTr="001C2990">
        <w:tc>
          <w:tcPr>
            <w:tcW w:w="1779" w:type="pct"/>
            <w:shd w:val="clear" w:color="auto" w:fill="D4E388"/>
            <w:hideMark/>
          </w:tcPr>
          <w:p w:rsidR="00FD09CB" w:rsidRPr="001C2990" w:rsidRDefault="00FD09CB" w:rsidP="007A744D">
            <w:pPr>
              <w:pStyle w:val="NormalWeb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Strong"/>
                <w:rFonts w:ascii="Lato" w:hAnsi="Lato"/>
                <w:color w:val="09506C"/>
                <w:sz w:val="18"/>
                <w:szCs w:val="18"/>
              </w:rPr>
              <w:t>Template No. &amp; Title</w:t>
            </w:r>
          </w:p>
        </w:tc>
        <w:tc>
          <w:tcPr>
            <w:tcW w:w="1308" w:type="pct"/>
            <w:shd w:val="clear" w:color="auto" w:fill="D4E388"/>
            <w:hideMark/>
          </w:tcPr>
          <w:p w:rsidR="00FD09CB" w:rsidRPr="001C2990" w:rsidRDefault="00FD09CB" w:rsidP="007A744D">
            <w:pPr>
              <w:pStyle w:val="NormalWeb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Strong"/>
                <w:rFonts w:ascii="Lato" w:hAnsi="Lato"/>
                <w:color w:val="09506C"/>
                <w:sz w:val="18"/>
                <w:szCs w:val="18"/>
              </w:rPr>
              <w:t xml:space="preserve">Applicable To </w:t>
            </w:r>
          </w:p>
        </w:tc>
        <w:tc>
          <w:tcPr>
            <w:tcW w:w="778" w:type="pct"/>
            <w:shd w:val="clear" w:color="auto" w:fill="D4E388"/>
            <w:hideMark/>
          </w:tcPr>
          <w:p w:rsidR="00FD09CB" w:rsidRPr="001C2990" w:rsidRDefault="00FD09CB" w:rsidP="007A744D">
            <w:pPr>
              <w:pStyle w:val="NormalWeb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Strong"/>
                <w:rFonts w:ascii="Lato" w:hAnsi="Lato"/>
                <w:color w:val="09506C"/>
                <w:sz w:val="18"/>
                <w:szCs w:val="18"/>
              </w:rPr>
              <w:t>Frequency of Submission</w:t>
            </w:r>
          </w:p>
        </w:tc>
        <w:tc>
          <w:tcPr>
            <w:tcW w:w="1135" w:type="pct"/>
            <w:shd w:val="clear" w:color="auto" w:fill="D4E388"/>
            <w:hideMark/>
          </w:tcPr>
          <w:p w:rsidR="00FD09CB" w:rsidRPr="001C2990" w:rsidRDefault="00FD09CB" w:rsidP="007A744D">
            <w:pPr>
              <w:pStyle w:val="NormalWeb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Strong"/>
                <w:rFonts w:ascii="Lato" w:hAnsi="Lato"/>
                <w:color w:val="09506C"/>
                <w:sz w:val="18"/>
                <w:szCs w:val="18"/>
              </w:rPr>
              <w:t>Technical Specification</w:t>
            </w:r>
            <w:r w:rsidRPr="001C2990">
              <w:rPr>
                <w:rFonts w:ascii="Lato" w:hAnsi="Lato"/>
                <w:color w:val="09506C"/>
                <w:sz w:val="18"/>
                <w:szCs w:val="18"/>
              </w:rPr>
              <w:t xml:space="preserve"> </w:t>
            </w:r>
          </w:p>
        </w:tc>
      </w:tr>
      <w:tr w:rsidR="00FD09CB" w:rsidRPr="001C2990" w:rsidTr="001C2990">
        <w:tc>
          <w:tcPr>
            <w:tcW w:w="1779" w:type="pct"/>
            <w:shd w:val="clear" w:color="auto" w:fill="D9D9D9"/>
            <w:hideMark/>
          </w:tcPr>
          <w:p w:rsidR="00FD09CB" w:rsidRPr="001C2990" w:rsidRDefault="00FD09CB" w:rsidP="007A744D">
            <w:pPr>
              <w:pStyle w:val="NormalWeb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Emphasis"/>
                <w:rFonts w:ascii="Lato" w:hAnsi="Lato"/>
                <w:b/>
                <w:bCs/>
                <w:color w:val="09506C"/>
                <w:sz w:val="18"/>
                <w:szCs w:val="18"/>
              </w:rPr>
              <w:t>NST.12 – Quarterly Aggregate Balance Sheet Statement</w:t>
            </w:r>
          </w:p>
        </w:tc>
        <w:tc>
          <w:tcPr>
            <w:tcW w:w="1308" w:type="pct"/>
            <w:shd w:val="clear" w:color="auto" w:fill="D9D9D9"/>
            <w:hideMark/>
          </w:tcPr>
          <w:p w:rsidR="00FD09CB" w:rsidRPr="001C2990" w:rsidRDefault="00FD09CB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 w:cs="Arial"/>
                <w:color w:val="000000"/>
                <w:sz w:val="18"/>
                <w:szCs w:val="18"/>
              </w:rPr>
              <w:t>Entire Solvency II Reporting Population</w:t>
            </w:r>
          </w:p>
        </w:tc>
        <w:tc>
          <w:tcPr>
            <w:tcW w:w="778" w:type="pct"/>
            <w:shd w:val="clear" w:color="auto" w:fill="D9D9D9"/>
            <w:hideMark/>
          </w:tcPr>
          <w:p w:rsidR="00FD09CB" w:rsidRPr="001C2990" w:rsidRDefault="00FD09CB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 xml:space="preserve">Quarterly </w:t>
            </w:r>
          </w:p>
        </w:tc>
        <w:tc>
          <w:tcPr>
            <w:tcW w:w="1135" w:type="pct"/>
            <w:shd w:val="clear" w:color="auto" w:fill="D9D9D9"/>
          </w:tcPr>
          <w:p w:rsidR="00FD09CB" w:rsidRPr="001C2990" w:rsidRDefault="00FD09CB" w:rsidP="007A744D">
            <w:pPr>
              <w:pStyle w:val="NormalWeb"/>
              <w:rPr>
                <w:rFonts w:ascii="Lato" w:hAnsi="Lato" w:cs="Calibri"/>
                <w:sz w:val="18"/>
                <w:szCs w:val="18"/>
              </w:rPr>
            </w:pPr>
            <w:hyperlink r:id="rId28" w:tooltip="NST.12 Notes on Compilation&amp;nbsp;" w:history="1"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 xml:space="preserve">NST.12 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N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otes on Compilation </w:t>
              </w:r>
            </w:hyperlink>
          </w:p>
        </w:tc>
      </w:tr>
      <w:tr w:rsidR="00FD09CB" w:rsidRPr="001C2990" w:rsidTr="001C2990">
        <w:tc>
          <w:tcPr>
            <w:tcW w:w="1779" w:type="pct"/>
            <w:shd w:val="clear" w:color="auto" w:fill="auto"/>
            <w:hideMark/>
          </w:tcPr>
          <w:p w:rsidR="00FD09CB" w:rsidRPr="001C2990" w:rsidRDefault="00FD09CB" w:rsidP="007A744D">
            <w:pPr>
              <w:pStyle w:val="NormalWeb"/>
              <w:rPr>
                <w:rFonts w:ascii="Lato" w:hAnsi="Lato"/>
                <w:color w:val="09506C"/>
                <w:sz w:val="18"/>
                <w:szCs w:val="18"/>
              </w:rPr>
            </w:pPr>
            <w:r w:rsidRPr="001C2990">
              <w:rPr>
                <w:rStyle w:val="Emphasis"/>
                <w:rFonts w:ascii="Lato" w:hAnsi="Lato"/>
                <w:b/>
                <w:bCs/>
                <w:color w:val="09506C"/>
                <w:sz w:val="18"/>
                <w:szCs w:val="18"/>
              </w:rPr>
              <w:t>NST.13 – Quarterly Aggregate Reporting of Security Holdings</w:t>
            </w:r>
          </w:p>
        </w:tc>
        <w:tc>
          <w:tcPr>
            <w:tcW w:w="1308" w:type="pct"/>
            <w:shd w:val="clear" w:color="auto" w:fill="auto"/>
            <w:hideMark/>
          </w:tcPr>
          <w:p w:rsidR="00FD09CB" w:rsidRPr="001C2990" w:rsidRDefault="00FD09CB" w:rsidP="007A744D">
            <w:pPr>
              <w:pStyle w:val="NormalWeb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 w:cs="Arial"/>
                <w:color w:val="000000"/>
                <w:sz w:val="18"/>
                <w:szCs w:val="18"/>
              </w:rPr>
              <w:t>Entire Solvency II Reporting Population</w:t>
            </w:r>
          </w:p>
        </w:tc>
        <w:tc>
          <w:tcPr>
            <w:tcW w:w="778" w:type="pct"/>
            <w:shd w:val="clear" w:color="auto" w:fill="auto"/>
            <w:hideMark/>
          </w:tcPr>
          <w:p w:rsidR="00FD09CB" w:rsidRPr="001C2990" w:rsidRDefault="00FD09CB" w:rsidP="001C2990">
            <w:pPr>
              <w:pStyle w:val="NormalWeb"/>
              <w:spacing w:before="0" w:beforeAutospacing="0" w:after="0" w:afterAutospacing="0"/>
              <w:rPr>
                <w:rFonts w:ascii="Lato" w:hAnsi="Lato"/>
                <w:sz w:val="18"/>
                <w:szCs w:val="18"/>
              </w:rPr>
            </w:pPr>
            <w:r w:rsidRPr="001C2990">
              <w:rPr>
                <w:rFonts w:ascii="Lato" w:hAnsi="Lato"/>
                <w:sz w:val="18"/>
                <w:szCs w:val="18"/>
              </w:rPr>
              <w:t xml:space="preserve">Quarterly </w:t>
            </w:r>
          </w:p>
        </w:tc>
        <w:tc>
          <w:tcPr>
            <w:tcW w:w="1135" w:type="pct"/>
            <w:shd w:val="clear" w:color="auto" w:fill="auto"/>
          </w:tcPr>
          <w:p w:rsidR="00FD09CB" w:rsidRPr="001C2990" w:rsidRDefault="00FD09CB" w:rsidP="001C2990">
            <w:pPr>
              <w:pStyle w:val="NormalWeb"/>
              <w:spacing w:before="0" w:beforeAutospacing="0" w:after="200" w:afterAutospacing="0"/>
              <w:rPr>
                <w:rFonts w:ascii="Lato" w:hAnsi="Lato" w:cs="Calibri"/>
                <w:sz w:val="18"/>
                <w:szCs w:val="18"/>
              </w:rPr>
            </w:pPr>
            <w:hyperlink r:id="rId29" w:tooltip="NST.13 Notes on Compilation" w:history="1"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NST.13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 xml:space="preserve"> 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Notes on Compi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l</w:t>
              </w:r>
              <w:r w:rsidRPr="001C2990">
                <w:rPr>
                  <w:rStyle w:val="Hyperlink"/>
                  <w:rFonts w:ascii="Lato" w:hAnsi="Lato" w:cs="Calibri"/>
                  <w:sz w:val="18"/>
                  <w:szCs w:val="18"/>
                </w:rPr>
                <w:t>ation</w:t>
              </w:r>
            </w:hyperlink>
          </w:p>
        </w:tc>
      </w:tr>
    </w:tbl>
    <w:p w:rsidR="004771B6" w:rsidRDefault="004771B6" w:rsidP="004771B6">
      <w:pPr>
        <w:pStyle w:val="BodyCopy"/>
        <w:rPr>
          <w:lang w:val="en-GB"/>
        </w:rPr>
      </w:pPr>
    </w:p>
    <w:p w:rsidR="00FD09CB" w:rsidRDefault="00FD09CB" w:rsidP="009D4E6E">
      <w:pPr>
        <w:pStyle w:val="BodyCopy"/>
      </w:pPr>
      <w:r w:rsidRPr="00FD09CB">
        <w:lastRenderedPageBreak/>
        <w:t>The above templates are based on</w:t>
      </w:r>
      <w:r w:rsidR="009D4E6E">
        <w:t xml:space="preserve"> (extend) the EIOPA Solvency 2.7</w:t>
      </w:r>
      <w:r w:rsidRPr="00FD09CB">
        <w:t>.0 package (as published on 15/07/2</w:t>
      </w:r>
      <w:r w:rsidR="009D4E6E">
        <w:t>022</w:t>
      </w:r>
      <w:r w:rsidRPr="00FD09CB">
        <w:t>)</w:t>
      </w:r>
      <w:r w:rsidRPr="00FD09CB">
        <w:rPr>
          <w:rStyle w:val="FootnoteReference"/>
        </w:rPr>
        <w:footnoteReference w:id="1"/>
      </w:r>
      <w:r w:rsidRPr="00FD09CB">
        <w:t>, in particular the DPM Dictionary</w:t>
      </w:r>
      <w:r w:rsidRPr="00FD09CB">
        <w:rPr>
          <w:rStyle w:val="FootnoteReference"/>
        </w:rPr>
        <w:footnoteReference w:id="2"/>
      </w:r>
      <w:r w:rsidRPr="00FD09CB">
        <w:t>, the DPM Annotated Templates</w:t>
      </w:r>
      <w:r w:rsidRPr="00FD09CB">
        <w:rPr>
          <w:rStyle w:val="FootnoteReference"/>
        </w:rPr>
        <w:footnoteReference w:id="3"/>
      </w:r>
      <w:r w:rsidRPr="00FD09CB">
        <w:t xml:space="preserve"> and the XBRL taxonomy</w:t>
      </w:r>
      <w:r w:rsidRPr="00FD09CB">
        <w:rPr>
          <w:rStyle w:val="FootnoteReference"/>
        </w:rPr>
        <w:footnoteReference w:id="4"/>
      </w:r>
      <w:r w:rsidRPr="00FD09CB">
        <w:t>.</w:t>
      </w:r>
    </w:p>
    <w:p w:rsidR="009C27D0" w:rsidRDefault="009C27D0" w:rsidP="00FD09CB">
      <w:pPr>
        <w:pStyle w:val="CBHeading2"/>
      </w:pPr>
      <w:bookmarkStart w:id="6" w:name="_Toc24034812"/>
    </w:p>
    <w:p w:rsidR="00FD09CB" w:rsidRDefault="00FD09CB" w:rsidP="00FD09CB">
      <w:pPr>
        <w:pStyle w:val="CBHeading2"/>
      </w:pPr>
      <w:r>
        <w:t>Content</w:t>
      </w:r>
      <w:bookmarkEnd w:id="6"/>
    </w:p>
    <w:p w:rsidR="00FD09CB" w:rsidRPr="001C2990" w:rsidRDefault="00FD09CB" w:rsidP="00FD09CB">
      <w:pPr>
        <w:rPr>
          <w:rFonts w:cs="Arial"/>
        </w:rPr>
      </w:pPr>
      <w:r w:rsidRPr="001C2990">
        <w:rPr>
          <w:rFonts w:cs="Arial"/>
        </w:rPr>
        <w:t>This package includes:</w:t>
      </w:r>
    </w:p>
    <w:p w:rsidR="00FD09CB" w:rsidRDefault="005B014A" w:rsidP="00FD09CB">
      <w:pPr>
        <w:pStyle w:val="StyledBullets"/>
        <w:rPr>
          <w:lang w:val="en-GB"/>
        </w:rPr>
      </w:pPr>
      <w:r>
        <w:rPr>
          <w:lang w:val="en-GB"/>
        </w:rPr>
        <w:t xml:space="preserve">CBI </w:t>
      </w:r>
      <w:r w:rsidR="00FD09CB" w:rsidRPr="00FD09CB">
        <w:rPr>
          <w:lang w:val="en-GB"/>
        </w:rPr>
        <w:t xml:space="preserve">NST </w:t>
      </w:r>
      <w:r>
        <w:rPr>
          <w:lang w:val="en-GB"/>
        </w:rPr>
        <w:t xml:space="preserve">1.5.0 </w:t>
      </w:r>
      <w:r w:rsidR="00FD09CB" w:rsidRPr="00FD09CB">
        <w:rPr>
          <w:lang w:val="en-GB"/>
        </w:rPr>
        <w:t>Release Notes</w:t>
      </w:r>
    </w:p>
    <w:p w:rsidR="005B014A" w:rsidRPr="001C2990" w:rsidRDefault="005B014A" w:rsidP="005B014A">
      <w:pPr>
        <w:pStyle w:val="StyledBullets"/>
        <w:rPr>
          <w:lang w:val="en-GB"/>
        </w:rPr>
      </w:pPr>
      <w:hyperlink r:id="rId30" w:history="1">
        <w:r>
          <w:rPr>
            <w:rStyle w:val="Hyperlink"/>
            <w:rFonts w:cs="Arial"/>
            <w:lang w:val="en-GB"/>
          </w:rPr>
          <w:t>CBI N</w:t>
        </w:r>
        <w:r w:rsidRPr="001C2990">
          <w:rPr>
            <w:rStyle w:val="Hyperlink"/>
            <w:rFonts w:cs="Arial"/>
            <w:lang w:val="en-GB"/>
          </w:rPr>
          <w:t xml:space="preserve">ST </w:t>
        </w:r>
        <w:r>
          <w:rPr>
            <w:rStyle w:val="Hyperlink"/>
            <w:rFonts w:cs="Arial"/>
            <w:lang w:val="en-GB"/>
          </w:rPr>
          <w:t xml:space="preserve">1.5.0 </w:t>
        </w:r>
        <w:r w:rsidRPr="001C2990">
          <w:rPr>
            <w:rStyle w:val="Hyperlink"/>
            <w:rFonts w:cs="Arial"/>
            <w:lang w:val="en-GB"/>
          </w:rPr>
          <w:t>DPM Documentation</w:t>
        </w:r>
      </w:hyperlink>
      <w:r w:rsidRPr="001C2990">
        <w:rPr>
          <w:lang w:val="en-GB"/>
        </w:rPr>
        <w:t xml:space="preserve"> </w:t>
      </w:r>
    </w:p>
    <w:p w:rsidR="005B014A" w:rsidRPr="00307DAE" w:rsidRDefault="005B014A" w:rsidP="005B014A">
      <w:pPr>
        <w:pStyle w:val="StyledBullets"/>
        <w:rPr>
          <w:rStyle w:val="Hyperlink"/>
          <w:lang w:val="en-GB"/>
        </w:rPr>
      </w:pPr>
      <w:r>
        <w:rPr>
          <w:rFonts w:cs="Arial"/>
          <w:lang w:val="en-GB"/>
        </w:rPr>
        <w:fldChar w:fldCharType="begin"/>
      </w:r>
      <w:r w:rsidR="00DE5BD2">
        <w:rPr>
          <w:rFonts w:cs="Arial"/>
          <w:lang w:val="en-GB"/>
        </w:rPr>
        <w:instrText>HYPERLINK "https://www.centralbank.ie/docs/default-source/regulation/industry-market-sectors/insurance-reinsurance/solvency-ii/national-specific-templates/dpm-and-taxonomy---version-1.5.0/nst-1-5-0-dpm-dictionary.xlsx"</w:instrText>
      </w:r>
      <w:r w:rsidR="00DE5BD2">
        <w:rPr>
          <w:rFonts w:cs="Arial"/>
          <w:lang w:val="en-GB"/>
        </w:rPr>
      </w:r>
      <w:r>
        <w:rPr>
          <w:rFonts w:cs="Arial"/>
          <w:lang w:val="en-GB"/>
        </w:rPr>
        <w:fldChar w:fldCharType="separate"/>
      </w:r>
      <w:r>
        <w:rPr>
          <w:rStyle w:val="Hyperlink"/>
          <w:rFonts w:cs="Arial"/>
          <w:lang w:val="en-GB"/>
        </w:rPr>
        <w:t>CBI N</w:t>
      </w:r>
      <w:r w:rsidRPr="00307DAE">
        <w:rPr>
          <w:rStyle w:val="Hyperlink"/>
          <w:rFonts w:cs="Arial"/>
          <w:lang w:val="en-GB"/>
        </w:rPr>
        <w:t xml:space="preserve">ST </w:t>
      </w:r>
      <w:r>
        <w:rPr>
          <w:rStyle w:val="Hyperlink"/>
          <w:rFonts w:cs="Arial"/>
          <w:lang w:val="en-GB"/>
        </w:rPr>
        <w:t xml:space="preserve">1.5.0 </w:t>
      </w:r>
      <w:r w:rsidRPr="00307DAE">
        <w:rPr>
          <w:rStyle w:val="Hyperlink"/>
          <w:rFonts w:cs="Arial"/>
          <w:lang w:val="en-GB"/>
        </w:rPr>
        <w:t>DPM Dictionary</w:t>
      </w:r>
    </w:p>
    <w:p w:rsidR="005B014A" w:rsidRPr="00307DAE" w:rsidRDefault="005B014A" w:rsidP="005B014A">
      <w:pPr>
        <w:pStyle w:val="StyledBullets"/>
        <w:rPr>
          <w:rStyle w:val="Hyperlink"/>
          <w:lang w:val="en-GB"/>
        </w:rPr>
      </w:pPr>
      <w:r>
        <w:rPr>
          <w:rFonts w:cs="Arial"/>
          <w:lang w:val="en-GB"/>
        </w:rPr>
        <w:fldChar w:fldCharType="end"/>
      </w:r>
      <w:r>
        <w:rPr>
          <w:rFonts w:cs="Arial"/>
          <w:lang w:val="en-GB"/>
        </w:rPr>
        <w:fldChar w:fldCharType="begin"/>
      </w:r>
      <w:r w:rsidR="00DE5BD2">
        <w:rPr>
          <w:rFonts w:cs="Arial"/>
          <w:lang w:val="en-GB"/>
        </w:rPr>
        <w:instrText>HYPERLINK "hhttps://www.centralbank.ie/docs/default-source/regulation/industry-market-sectors/insurance-reinsurance/solvency-ii/national-specific-templates/dpm-and-taxonomy---version-1.5.0/nst-1-5-0-annotated-templates.xlsx"</w:instrText>
      </w:r>
      <w:r w:rsidR="00DE5BD2">
        <w:rPr>
          <w:rFonts w:cs="Arial"/>
          <w:lang w:val="en-GB"/>
        </w:rPr>
      </w:r>
      <w:r>
        <w:rPr>
          <w:rFonts w:cs="Arial"/>
          <w:lang w:val="en-GB"/>
        </w:rPr>
        <w:fldChar w:fldCharType="separate"/>
      </w:r>
      <w:r>
        <w:rPr>
          <w:rStyle w:val="Hyperlink"/>
          <w:rFonts w:cs="Arial"/>
          <w:lang w:val="en-GB"/>
        </w:rPr>
        <w:t>CBI N</w:t>
      </w:r>
      <w:r w:rsidRPr="00307DAE">
        <w:rPr>
          <w:rStyle w:val="Hyperlink"/>
          <w:rFonts w:cs="Arial"/>
          <w:lang w:val="en-GB"/>
        </w:rPr>
        <w:t xml:space="preserve">ST </w:t>
      </w:r>
      <w:r w:rsidR="00354222">
        <w:rPr>
          <w:rStyle w:val="Hyperlink"/>
          <w:rFonts w:cs="Arial"/>
          <w:lang w:val="en-GB"/>
        </w:rPr>
        <w:t>1.5.0</w:t>
      </w:r>
      <w:r w:rsidRPr="00307DAE">
        <w:rPr>
          <w:rStyle w:val="Hyperlink"/>
          <w:rFonts w:cs="Arial"/>
          <w:lang w:val="en-GB"/>
        </w:rPr>
        <w:t xml:space="preserve"> Annotated Templates</w:t>
      </w:r>
      <w:r w:rsidRPr="00307DAE">
        <w:rPr>
          <w:rStyle w:val="Hyperlink"/>
          <w:lang w:val="en-GB"/>
        </w:rPr>
        <w:t xml:space="preserve"> </w:t>
      </w:r>
    </w:p>
    <w:p w:rsidR="005B014A" w:rsidRPr="00307DAE" w:rsidRDefault="005B014A" w:rsidP="005B014A">
      <w:pPr>
        <w:pStyle w:val="StyledBullets"/>
        <w:rPr>
          <w:rStyle w:val="Hyperlink"/>
          <w:lang w:val="en-GB"/>
        </w:rPr>
      </w:pPr>
      <w:r>
        <w:rPr>
          <w:rFonts w:cs="Arial"/>
          <w:lang w:val="en-GB"/>
        </w:rPr>
        <w:fldChar w:fldCharType="end"/>
      </w:r>
      <w:r>
        <w:rPr>
          <w:rFonts w:cs="Arial"/>
          <w:lang w:val="en-GB"/>
        </w:rPr>
        <w:fldChar w:fldCharType="begin"/>
      </w:r>
      <w:r w:rsidR="00DE5BD2">
        <w:rPr>
          <w:rFonts w:cs="Arial"/>
          <w:lang w:val="en-GB"/>
        </w:rPr>
        <w:instrText>HYPERLINK "https://www.centralbank.ie/docs/default-source/regulation/industry-market-sectors/insurance-reinsurance/solvency-ii/national-specific-templates/dpm-and-taxonomy---version-1.5.0/1-5-0-xbrl-taxonomy-documentation.doc"</w:instrText>
      </w:r>
      <w:r w:rsidR="00DE5BD2">
        <w:rPr>
          <w:rFonts w:cs="Arial"/>
          <w:lang w:val="en-GB"/>
        </w:rPr>
      </w:r>
      <w:r>
        <w:rPr>
          <w:rFonts w:cs="Arial"/>
          <w:lang w:val="en-GB"/>
        </w:rPr>
        <w:fldChar w:fldCharType="separate"/>
      </w:r>
      <w:r>
        <w:rPr>
          <w:rStyle w:val="Hyperlink"/>
          <w:rFonts w:cs="Arial"/>
          <w:lang w:val="en-GB"/>
        </w:rPr>
        <w:t>CBI N</w:t>
      </w:r>
      <w:r w:rsidRPr="00307DAE">
        <w:rPr>
          <w:rStyle w:val="Hyperlink"/>
          <w:rFonts w:cs="Arial"/>
          <w:lang w:val="en-GB"/>
        </w:rPr>
        <w:t xml:space="preserve">ST </w:t>
      </w:r>
      <w:r>
        <w:rPr>
          <w:rStyle w:val="Hyperlink"/>
          <w:rFonts w:cs="Arial"/>
          <w:lang w:val="en-GB"/>
        </w:rPr>
        <w:t xml:space="preserve">1.5.0 </w:t>
      </w:r>
      <w:r w:rsidRPr="00307DAE">
        <w:rPr>
          <w:rStyle w:val="Hyperlink"/>
          <w:rFonts w:cs="Arial"/>
          <w:lang w:val="en-GB"/>
        </w:rPr>
        <w:t>XBRL Taxonomy Documentation</w:t>
      </w:r>
      <w:r w:rsidRPr="00307DAE">
        <w:rPr>
          <w:rStyle w:val="Hyperlink"/>
          <w:lang w:val="en-GB"/>
        </w:rPr>
        <w:t xml:space="preserve"> </w:t>
      </w:r>
    </w:p>
    <w:p w:rsidR="005B014A" w:rsidRPr="00307DAE" w:rsidRDefault="005B014A" w:rsidP="005B014A">
      <w:pPr>
        <w:pStyle w:val="StyledBullets"/>
        <w:rPr>
          <w:rStyle w:val="Hyperlink"/>
          <w:lang w:val="en-GB"/>
        </w:rPr>
      </w:pPr>
      <w:r>
        <w:rPr>
          <w:rFonts w:cs="Arial"/>
          <w:lang w:val="en-GB"/>
        </w:rPr>
        <w:fldChar w:fldCharType="end"/>
      </w:r>
      <w:r>
        <w:rPr>
          <w:rFonts w:cs="Arial"/>
          <w:lang w:val="en-GB"/>
        </w:rPr>
        <w:fldChar w:fldCharType="begin"/>
      </w:r>
      <w:r w:rsidR="00DE5BD2">
        <w:rPr>
          <w:rFonts w:cs="Arial"/>
          <w:lang w:val="en-GB"/>
        </w:rPr>
        <w:instrText>HYPERLINK "https://www.centralbank.ie/docs/default-source/regulation/industry-market-sectors/insurance-reinsurance/solvency-ii/national-specific-templates/dpm-and-taxonomy---version-1.5.0/nst-1-5-0-xbrl-taxonomy-package.zip"</w:instrText>
      </w:r>
      <w:r w:rsidR="00DE5BD2">
        <w:rPr>
          <w:rFonts w:cs="Arial"/>
          <w:lang w:val="en-GB"/>
        </w:rPr>
      </w:r>
      <w:r>
        <w:rPr>
          <w:rFonts w:cs="Arial"/>
          <w:lang w:val="en-GB"/>
        </w:rPr>
        <w:fldChar w:fldCharType="separate"/>
      </w:r>
      <w:r>
        <w:rPr>
          <w:rStyle w:val="Hyperlink"/>
          <w:rFonts w:cs="Arial"/>
          <w:lang w:val="en-GB"/>
        </w:rPr>
        <w:t>CBI N</w:t>
      </w:r>
      <w:r w:rsidRPr="00307DAE">
        <w:rPr>
          <w:rStyle w:val="Hyperlink"/>
          <w:rFonts w:cs="Arial"/>
          <w:lang w:val="en-GB"/>
        </w:rPr>
        <w:t xml:space="preserve">ST </w:t>
      </w:r>
      <w:r>
        <w:rPr>
          <w:rStyle w:val="Hyperlink"/>
          <w:rFonts w:cs="Arial"/>
          <w:lang w:val="en-GB"/>
        </w:rPr>
        <w:t xml:space="preserve">1.5.0 </w:t>
      </w:r>
      <w:r w:rsidRPr="00307DAE">
        <w:rPr>
          <w:rStyle w:val="Hyperlink"/>
          <w:rFonts w:cs="Arial"/>
          <w:lang w:val="en-GB"/>
        </w:rPr>
        <w:t>XBRL Taxonomy Package</w:t>
      </w:r>
      <w:r w:rsidRPr="00307DAE">
        <w:rPr>
          <w:rStyle w:val="Hyperlink"/>
          <w:lang w:val="en-GB"/>
        </w:rPr>
        <w:t xml:space="preserve"> </w:t>
      </w:r>
    </w:p>
    <w:p w:rsidR="00354222" w:rsidRPr="00307DAE" w:rsidRDefault="005B014A" w:rsidP="00354222">
      <w:pPr>
        <w:pStyle w:val="StyledBullets"/>
        <w:rPr>
          <w:rStyle w:val="Hyperlink"/>
          <w:lang w:val="en-GB"/>
        </w:rPr>
      </w:pPr>
      <w:r>
        <w:rPr>
          <w:rFonts w:cs="Arial"/>
          <w:lang w:val="en-GB"/>
        </w:rPr>
        <w:fldChar w:fldCharType="end"/>
      </w:r>
      <w:r w:rsidR="00354222">
        <w:rPr>
          <w:rFonts w:cs="Arial"/>
          <w:lang w:val="en-GB"/>
        </w:rPr>
        <w:fldChar w:fldCharType="begin"/>
      </w:r>
      <w:r w:rsidR="00DE5BD2">
        <w:rPr>
          <w:rFonts w:cs="Arial"/>
          <w:lang w:val="en-GB"/>
        </w:rPr>
        <w:instrText>HYPERLINK "https://www.centralbank.ie/docs/default-source/regulation/industry-market-sectors/insurance-reinsurance/solvency-ii/national-specific-templates/dpm-and-taxonomy---version-1.5.0/nst-1-5-0-xbrl-test-instance-documents.zip"</w:instrText>
      </w:r>
      <w:r w:rsidR="00DE5BD2">
        <w:rPr>
          <w:rFonts w:cs="Arial"/>
          <w:lang w:val="en-GB"/>
        </w:rPr>
      </w:r>
      <w:r w:rsidR="00354222">
        <w:rPr>
          <w:rFonts w:cs="Arial"/>
          <w:lang w:val="en-GB"/>
        </w:rPr>
        <w:fldChar w:fldCharType="separate"/>
      </w:r>
      <w:r w:rsidR="00354222">
        <w:rPr>
          <w:rStyle w:val="Hyperlink"/>
          <w:rFonts w:cs="Arial"/>
          <w:lang w:val="en-GB"/>
        </w:rPr>
        <w:t>CBI N</w:t>
      </w:r>
      <w:r w:rsidR="00354222" w:rsidRPr="00307DAE">
        <w:rPr>
          <w:rStyle w:val="Hyperlink"/>
          <w:rFonts w:cs="Arial"/>
          <w:lang w:val="en-GB"/>
        </w:rPr>
        <w:t>ST</w:t>
      </w:r>
      <w:r w:rsidR="00354222">
        <w:rPr>
          <w:rStyle w:val="Hyperlink"/>
          <w:rFonts w:cs="Arial"/>
          <w:lang w:val="en-GB"/>
        </w:rPr>
        <w:t xml:space="preserve"> 1.5.0</w:t>
      </w:r>
      <w:r w:rsidR="00354222" w:rsidRPr="00307DAE">
        <w:rPr>
          <w:rStyle w:val="Hyperlink"/>
          <w:rFonts w:cs="Arial"/>
          <w:lang w:val="en-GB"/>
        </w:rPr>
        <w:t xml:space="preserve"> XBRL Test Instance Documents</w:t>
      </w:r>
      <w:r w:rsidR="00354222" w:rsidRPr="00307DAE">
        <w:rPr>
          <w:rStyle w:val="Hyperlink"/>
          <w:lang w:val="en-GB"/>
        </w:rPr>
        <w:t xml:space="preserve"> </w:t>
      </w:r>
    </w:p>
    <w:p w:rsidR="00354222" w:rsidRPr="00307DAE" w:rsidRDefault="00354222" w:rsidP="00354222">
      <w:pPr>
        <w:pStyle w:val="StyledBullets"/>
        <w:rPr>
          <w:rStyle w:val="Hyperlink"/>
          <w:rFonts w:ascii="Arial" w:hAnsi="Arial"/>
        </w:rPr>
      </w:pPr>
      <w:r>
        <w:rPr>
          <w:rFonts w:cs="Arial"/>
          <w:lang w:val="en-GB"/>
        </w:rPr>
        <w:fldChar w:fldCharType="end"/>
      </w:r>
      <w:r>
        <w:rPr>
          <w:rFonts w:cs="Arial"/>
          <w:lang w:val="en-GB"/>
        </w:rPr>
        <w:fldChar w:fldCharType="begin"/>
      </w:r>
      <w:r w:rsidR="00DE5BD2">
        <w:rPr>
          <w:rFonts w:cs="Arial"/>
          <w:lang w:val="en-GB"/>
        </w:rPr>
        <w:instrText>HYPERLINK "https://www.centralbank.ie/docs/default-source/regulation/industry-market-sectors/insurance-reinsurance/solvency-ii/national-specific-templates/dpm-and-taxonomy---version-1.5.0/nst-1-5-0-list-of-validations.xlsx"</w:instrText>
      </w:r>
      <w:r w:rsidR="00DE5BD2">
        <w:rPr>
          <w:rFonts w:cs="Arial"/>
          <w:lang w:val="en-GB"/>
        </w:rPr>
      </w:r>
      <w:r>
        <w:rPr>
          <w:rFonts w:cs="Arial"/>
          <w:lang w:val="en-GB"/>
        </w:rPr>
        <w:fldChar w:fldCharType="separate"/>
      </w:r>
      <w:r>
        <w:rPr>
          <w:rStyle w:val="Hyperlink"/>
          <w:rFonts w:cs="Arial"/>
          <w:lang w:val="en-GB"/>
        </w:rPr>
        <w:t>CBI NST 1.5.0 L</w:t>
      </w:r>
      <w:r w:rsidR="00C329D7">
        <w:rPr>
          <w:rStyle w:val="Hyperlink"/>
          <w:rFonts w:cs="Arial"/>
          <w:lang w:val="en-GB"/>
        </w:rPr>
        <w:t xml:space="preserve">ist of </w:t>
      </w:r>
      <w:r w:rsidRPr="00307DAE">
        <w:rPr>
          <w:rStyle w:val="Hyperlink"/>
          <w:rFonts w:cs="Arial"/>
          <w:lang w:val="en-GB"/>
        </w:rPr>
        <w:t>Validations</w:t>
      </w:r>
    </w:p>
    <w:p w:rsidR="005B014A" w:rsidRDefault="00354222" w:rsidP="00050012">
      <w:pPr>
        <w:pStyle w:val="StyledBullets"/>
      </w:pPr>
      <w:r w:rsidRPr="00354222">
        <w:rPr>
          <w:rFonts w:cs="Arial"/>
          <w:b/>
          <w:lang w:val="en-GB"/>
        </w:rPr>
        <w:fldChar w:fldCharType="end"/>
      </w:r>
      <w:hyperlink r:id="rId31" w:history="1">
        <w:r>
          <w:rPr>
            <w:rStyle w:val="Hyperlink"/>
            <w:rFonts w:cs="Arial"/>
            <w:lang w:val="en-GB"/>
          </w:rPr>
          <w:t>CBI NST 1.5.0 L</w:t>
        </w:r>
        <w:r w:rsidR="00FD09CB" w:rsidRPr="00354222">
          <w:rPr>
            <w:rStyle w:val="Hyperlink"/>
            <w:rFonts w:cs="Arial"/>
            <w:lang w:val="en-GB"/>
          </w:rPr>
          <w:t>ist of Known Issues</w:t>
        </w:r>
      </w:hyperlink>
    </w:p>
    <w:p w:rsidR="009C27D0" w:rsidRDefault="009C27D0" w:rsidP="00E715FD">
      <w:pPr>
        <w:pStyle w:val="CBHeading2"/>
      </w:pPr>
      <w:bookmarkStart w:id="7" w:name="_Toc24034813"/>
    </w:p>
    <w:p w:rsidR="00FD09CB" w:rsidRDefault="00FD09CB" w:rsidP="00E715FD">
      <w:pPr>
        <w:pStyle w:val="CBHeading2"/>
      </w:pPr>
      <w:r>
        <w:t>File Names</w:t>
      </w:r>
      <w:bookmarkEnd w:id="7"/>
    </w:p>
    <w:p w:rsidR="00FD09CB" w:rsidRPr="001C2990" w:rsidRDefault="00FD09CB" w:rsidP="00932B8D">
      <w:pPr>
        <w:spacing w:line="360" w:lineRule="auto"/>
        <w:jc w:val="both"/>
        <w:rPr>
          <w:rFonts w:cs="Arial"/>
        </w:rPr>
      </w:pPr>
      <w:r w:rsidRPr="001C2990">
        <w:rPr>
          <w:rFonts w:cs="Arial"/>
        </w:rPr>
        <w:t>Please note any documents published for a specific version of the NST Taxonomy will include in the file name both the version number of the EIOPA Taxonomy from which the NST extends (e.g. 2.</w:t>
      </w:r>
      <w:r w:rsidR="00932B8D">
        <w:rPr>
          <w:rFonts w:cs="Arial"/>
        </w:rPr>
        <w:t>7</w:t>
      </w:r>
      <w:r w:rsidRPr="001C2990">
        <w:rPr>
          <w:rFonts w:cs="Arial"/>
        </w:rPr>
        <w:t>.0) and the version numb</w:t>
      </w:r>
      <w:r w:rsidR="00955B43">
        <w:rPr>
          <w:rFonts w:cs="Arial"/>
        </w:rPr>
        <w:t>er of the NST Taxonomy (e.g. 1.5</w:t>
      </w:r>
      <w:r w:rsidRPr="001C2990">
        <w:rPr>
          <w:rFonts w:cs="Arial"/>
        </w:rPr>
        <w:t>.0). This naming convention will be applied to the following documents:</w:t>
      </w:r>
    </w:p>
    <w:p w:rsidR="00FD09CB" w:rsidRDefault="00FD09CB" w:rsidP="00FD09CB">
      <w:pPr>
        <w:pStyle w:val="StyledBullets"/>
      </w:pPr>
      <w:r w:rsidRPr="00FD09CB">
        <w:t xml:space="preserve">DPM Dictionary  </w:t>
      </w:r>
    </w:p>
    <w:p w:rsidR="00FD09CB" w:rsidRPr="00FD09CB" w:rsidRDefault="00FD09CB" w:rsidP="00FD09CB">
      <w:pPr>
        <w:pStyle w:val="StyledBullets"/>
        <w:numPr>
          <w:ilvl w:val="0"/>
          <w:numId w:val="0"/>
        </w:numPr>
        <w:ind w:left="284"/>
      </w:pPr>
      <w:r w:rsidRPr="00FD09CB">
        <w:rPr>
          <w:i/>
        </w:rPr>
        <w:t>CBI</w:t>
      </w:r>
      <w:r w:rsidR="00932B8D">
        <w:rPr>
          <w:i/>
        </w:rPr>
        <w:t xml:space="preserve"> </w:t>
      </w:r>
      <w:r w:rsidRPr="00FD09CB">
        <w:rPr>
          <w:i/>
        </w:rPr>
        <w:t>NST</w:t>
      </w:r>
      <w:r w:rsidR="00932B8D">
        <w:rPr>
          <w:i/>
        </w:rPr>
        <w:t xml:space="preserve"> 1.5.0 </w:t>
      </w:r>
      <w:r w:rsidRPr="00FD09CB">
        <w:rPr>
          <w:i/>
        </w:rPr>
        <w:t>DPM</w:t>
      </w:r>
      <w:r w:rsidR="00932B8D">
        <w:rPr>
          <w:i/>
        </w:rPr>
        <w:t xml:space="preserve"> </w:t>
      </w:r>
      <w:r w:rsidRPr="00FD09CB">
        <w:rPr>
          <w:i/>
        </w:rPr>
        <w:t>Dictionary.xlsx</w:t>
      </w:r>
    </w:p>
    <w:p w:rsidR="00FD09CB" w:rsidRDefault="00FD09CB" w:rsidP="00FD09CB">
      <w:pPr>
        <w:pStyle w:val="StyledBullets"/>
      </w:pPr>
      <w:r w:rsidRPr="00FD09CB">
        <w:t xml:space="preserve">Annotated Templates  </w:t>
      </w:r>
    </w:p>
    <w:p w:rsidR="00FD09CB" w:rsidRPr="00FD09CB" w:rsidRDefault="00FD09CB" w:rsidP="00FD09CB">
      <w:pPr>
        <w:pStyle w:val="StyledBullets"/>
        <w:numPr>
          <w:ilvl w:val="0"/>
          <w:numId w:val="0"/>
        </w:numPr>
        <w:ind w:left="284"/>
      </w:pPr>
      <w:r w:rsidRPr="00FD09CB">
        <w:rPr>
          <w:i/>
        </w:rPr>
        <w:t>CBI</w:t>
      </w:r>
      <w:r w:rsidR="00932B8D">
        <w:rPr>
          <w:i/>
        </w:rPr>
        <w:t xml:space="preserve"> NST</w:t>
      </w:r>
      <w:r w:rsidR="00932B8D" w:rsidRPr="00FD09CB" w:rsidDel="00932B8D">
        <w:rPr>
          <w:i/>
        </w:rPr>
        <w:t xml:space="preserve"> </w:t>
      </w:r>
      <w:r w:rsidR="00932B8D">
        <w:rPr>
          <w:i/>
        </w:rPr>
        <w:t xml:space="preserve">1.5.0 </w:t>
      </w:r>
      <w:r w:rsidRPr="00FD09CB">
        <w:rPr>
          <w:i/>
        </w:rPr>
        <w:t>Annotated</w:t>
      </w:r>
      <w:r w:rsidR="00932B8D">
        <w:rPr>
          <w:i/>
        </w:rPr>
        <w:t xml:space="preserve"> </w:t>
      </w:r>
      <w:r w:rsidRPr="00FD09CB">
        <w:rPr>
          <w:i/>
        </w:rPr>
        <w:t>Templates.xlsx</w:t>
      </w:r>
    </w:p>
    <w:p w:rsidR="00FD09CB" w:rsidRDefault="00FD09CB" w:rsidP="00FD09CB">
      <w:pPr>
        <w:pStyle w:val="StyledBullets"/>
      </w:pPr>
      <w:r w:rsidRPr="00FD09CB">
        <w:t>XBRL Taxonomy Package</w:t>
      </w:r>
      <w:r>
        <w:t xml:space="preserve"> </w:t>
      </w:r>
    </w:p>
    <w:p w:rsidR="00FD09CB" w:rsidRPr="00FD09CB" w:rsidRDefault="00FD09CB" w:rsidP="00FD09CB">
      <w:pPr>
        <w:pStyle w:val="StyledBullets"/>
        <w:numPr>
          <w:ilvl w:val="0"/>
          <w:numId w:val="0"/>
        </w:numPr>
        <w:ind w:left="284"/>
      </w:pPr>
      <w:r w:rsidRPr="00FD09CB">
        <w:rPr>
          <w:i/>
        </w:rPr>
        <w:t>CBI</w:t>
      </w:r>
      <w:r w:rsidR="00932B8D">
        <w:rPr>
          <w:i/>
        </w:rPr>
        <w:t xml:space="preserve"> </w:t>
      </w:r>
      <w:r w:rsidRPr="00FD09CB">
        <w:rPr>
          <w:i/>
        </w:rPr>
        <w:t>NST</w:t>
      </w:r>
      <w:r w:rsidR="00932B8D">
        <w:rPr>
          <w:i/>
        </w:rPr>
        <w:t xml:space="preserve"> 1.5.0 </w:t>
      </w:r>
      <w:r w:rsidRPr="00FD09CB">
        <w:rPr>
          <w:i/>
        </w:rPr>
        <w:t>XBRL</w:t>
      </w:r>
      <w:r w:rsidR="00932B8D">
        <w:rPr>
          <w:i/>
        </w:rPr>
        <w:t xml:space="preserve"> </w:t>
      </w:r>
      <w:r w:rsidRPr="00FD09CB">
        <w:rPr>
          <w:i/>
        </w:rPr>
        <w:t>Taxonomy</w:t>
      </w:r>
      <w:r w:rsidR="00354222">
        <w:rPr>
          <w:i/>
        </w:rPr>
        <w:t xml:space="preserve"> Package</w:t>
      </w:r>
      <w:r w:rsidRPr="00FD09CB">
        <w:rPr>
          <w:i/>
        </w:rPr>
        <w:t>.zip</w:t>
      </w:r>
    </w:p>
    <w:p w:rsidR="00FD09CB" w:rsidRDefault="00FD09CB" w:rsidP="00FD09CB">
      <w:pPr>
        <w:pStyle w:val="StyledBullets"/>
      </w:pPr>
      <w:r w:rsidRPr="00FD09CB">
        <w:t>XBRL Test Instance Documents</w:t>
      </w:r>
      <w:r>
        <w:t xml:space="preserve"> </w:t>
      </w:r>
    </w:p>
    <w:p w:rsidR="009C27D0" w:rsidRDefault="00FD09CB" w:rsidP="009C27D0">
      <w:pPr>
        <w:pStyle w:val="StyledBullets"/>
        <w:numPr>
          <w:ilvl w:val="0"/>
          <w:numId w:val="0"/>
        </w:numPr>
        <w:ind w:left="284"/>
        <w:rPr>
          <w:i/>
        </w:rPr>
      </w:pPr>
      <w:r w:rsidRPr="00FD09CB">
        <w:rPr>
          <w:i/>
        </w:rPr>
        <w:t>CBI</w:t>
      </w:r>
      <w:r w:rsidR="00932B8D">
        <w:rPr>
          <w:i/>
        </w:rPr>
        <w:t xml:space="preserve"> </w:t>
      </w:r>
      <w:r w:rsidRPr="00FD09CB">
        <w:rPr>
          <w:i/>
        </w:rPr>
        <w:t>NST</w:t>
      </w:r>
      <w:r w:rsidR="00932B8D">
        <w:rPr>
          <w:i/>
        </w:rPr>
        <w:t xml:space="preserve"> 1.5.0 </w:t>
      </w:r>
      <w:r w:rsidRPr="00FD09CB">
        <w:rPr>
          <w:i/>
        </w:rPr>
        <w:t>XBRL</w:t>
      </w:r>
      <w:r w:rsidR="00932B8D">
        <w:rPr>
          <w:i/>
        </w:rPr>
        <w:t xml:space="preserve"> </w:t>
      </w:r>
      <w:r w:rsidR="00354222">
        <w:rPr>
          <w:i/>
        </w:rPr>
        <w:t xml:space="preserve">Test </w:t>
      </w:r>
      <w:r w:rsidRPr="00FD09CB">
        <w:rPr>
          <w:i/>
        </w:rPr>
        <w:t>Instance</w:t>
      </w:r>
      <w:r w:rsidR="00932B8D">
        <w:rPr>
          <w:i/>
        </w:rPr>
        <w:t xml:space="preserve"> </w:t>
      </w:r>
      <w:r w:rsidRPr="00FD09CB">
        <w:rPr>
          <w:i/>
        </w:rPr>
        <w:t>Documents.zip</w:t>
      </w:r>
      <w:bookmarkStart w:id="8" w:name="_Toc24034814"/>
    </w:p>
    <w:p w:rsidR="009C27D0" w:rsidRDefault="009C27D0" w:rsidP="009C27D0">
      <w:pPr>
        <w:pStyle w:val="StyledBullets"/>
        <w:numPr>
          <w:ilvl w:val="0"/>
          <w:numId w:val="0"/>
        </w:numPr>
        <w:ind w:left="284"/>
        <w:rPr>
          <w:i/>
        </w:rPr>
      </w:pPr>
    </w:p>
    <w:p w:rsidR="00FD09CB" w:rsidRDefault="00FD09CB" w:rsidP="009C27D0">
      <w:pPr>
        <w:pStyle w:val="CBHeading2"/>
      </w:pPr>
      <w:r>
        <w:lastRenderedPageBreak/>
        <w:t>Scope</w:t>
      </w:r>
      <w:bookmarkEnd w:id="8"/>
    </w:p>
    <w:p w:rsidR="00FD09CB" w:rsidRDefault="00FD09CB" w:rsidP="00FD09CB">
      <w:pPr>
        <w:pStyle w:val="BodyCopy"/>
      </w:pPr>
      <w:r w:rsidRPr="00FD09CB">
        <w:t>Table 3 below provides information on the entry point for each template included in the package.</w:t>
      </w:r>
    </w:p>
    <w:p w:rsidR="00FD09CB" w:rsidRDefault="00FD09CB" w:rsidP="00FD09CB">
      <w:pPr>
        <w:pStyle w:val="CBChartTitle"/>
        <w:rPr>
          <w:lang w:val="en-GB"/>
        </w:rPr>
      </w:pPr>
      <w:r w:rsidRPr="00FD35A6">
        <w:t xml:space="preserve">Table </w:t>
      </w:r>
      <w:r>
        <w:t>3.</w:t>
      </w:r>
      <w:r w:rsidRPr="00FD35A6">
        <w:t xml:space="preserve"> </w:t>
      </w:r>
      <w:r w:rsidRPr="001C2990">
        <w:rPr>
          <w:rStyle w:val="CBTableTitle0"/>
          <w:color w:val="09506C"/>
        </w:rPr>
        <w:t>|</w:t>
      </w:r>
      <w:r w:rsidRPr="00FD35A6">
        <w:t xml:space="preserve"> </w:t>
      </w:r>
      <w:r w:rsidRPr="00C51FAC">
        <w:rPr>
          <w:lang w:val="en-GB"/>
        </w:rPr>
        <w:t>NST information requirements modules and templates</w:t>
      </w:r>
    </w:p>
    <w:tbl>
      <w:tblPr>
        <w:tblW w:w="9356" w:type="dxa"/>
        <w:tblInd w:w="170" w:type="dxa"/>
        <w:tblBorders>
          <w:top w:val="single" w:sz="4" w:space="0" w:color="09506C"/>
          <w:bottom w:val="single" w:sz="4" w:space="0" w:color="09506C"/>
          <w:insideH w:val="single" w:sz="4" w:space="0" w:color="09506C"/>
          <w:insideV w:val="single" w:sz="4" w:space="0" w:color="09506C"/>
        </w:tblBorders>
        <w:tblCellMar>
          <w:top w:w="113" w:type="dxa"/>
          <w:left w:w="170" w:type="dxa"/>
          <w:bottom w:w="113" w:type="dxa"/>
        </w:tblCellMar>
        <w:tblLook w:val="04A0" w:firstRow="1" w:lastRow="0" w:firstColumn="1" w:lastColumn="0" w:noHBand="0" w:noVBand="1"/>
      </w:tblPr>
      <w:tblGrid>
        <w:gridCol w:w="1254"/>
        <w:gridCol w:w="3614"/>
        <w:gridCol w:w="1441"/>
        <w:gridCol w:w="1488"/>
        <w:gridCol w:w="1559"/>
      </w:tblGrid>
      <w:tr w:rsidR="00FD09CB" w:rsidRPr="001C2990" w:rsidTr="001C7E21">
        <w:trPr>
          <w:trHeight w:val="170"/>
        </w:trPr>
        <w:tc>
          <w:tcPr>
            <w:tcW w:w="1254" w:type="dxa"/>
            <w:vMerge w:val="restart"/>
            <w:shd w:val="clear" w:color="auto" w:fill="D4E388"/>
          </w:tcPr>
          <w:p w:rsidR="00FD09CB" w:rsidRPr="001C2990" w:rsidRDefault="00FD09CB" w:rsidP="001C2990">
            <w:pPr>
              <w:spacing w:after="0"/>
              <w:jc w:val="center"/>
              <w:rPr>
                <w:rFonts w:ascii="Lato Semibold" w:hAnsi="Lato Semibold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rFonts w:ascii="Lato Semibold" w:hAnsi="Lato Semibold"/>
                <w:b/>
                <w:bCs/>
                <w:color w:val="000000"/>
                <w:sz w:val="16"/>
                <w:szCs w:val="16"/>
                <w:lang w:eastAsia="pl-PL"/>
              </w:rPr>
              <w:t>Template code</w:t>
            </w:r>
          </w:p>
        </w:tc>
        <w:tc>
          <w:tcPr>
            <w:tcW w:w="3614" w:type="dxa"/>
            <w:vMerge w:val="restart"/>
            <w:shd w:val="clear" w:color="auto" w:fill="D4E388"/>
            <w:noWrap/>
          </w:tcPr>
          <w:p w:rsidR="00FD09CB" w:rsidRPr="001C2990" w:rsidRDefault="00FD09CB" w:rsidP="001C2990">
            <w:pPr>
              <w:spacing w:after="0"/>
              <w:jc w:val="center"/>
              <w:rPr>
                <w:rFonts w:ascii="Lato Semibold" w:hAnsi="Lato Semibold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rFonts w:ascii="Lato Semibold" w:hAnsi="Lato Semibold"/>
                <w:b/>
                <w:bCs/>
                <w:color w:val="000000"/>
                <w:sz w:val="16"/>
                <w:szCs w:val="16"/>
                <w:lang w:eastAsia="pl-PL"/>
              </w:rPr>
              <w:t>Template title</w:t>
            </w:r>
          </w:p>
        </w:tc>
        <w:tc>
          <w:tcPr>
            <w:tcW w:w="4488" w:type="dxa"/>
            <w:gridSpan w:val="3"/>
            <w:shd w:val="clear" w:color="auto" w:fill="D4E388"/>
          </w:tcPr>
          <w:p w:rsidR="00FD09CB" w:rsidRPr="001C2990" w:rsidRDefault="00FD09CB" w:rsidP="001C2990">
            <w:pPr>
              <w:spacing w:after="0"/>
              <w:jc w:val="center"/>
              <w:rPr>
                <w:rFonts w:ascii="Lato Semibold" w:hAnsi="Lato Semibold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rFonts w:ascii="Lato Semibold" w:hAnsi="Lato Semibold"/>
                <w:b/>
                <w:bCs/>
                <w:color w:val="000000"/>
                <w:sz w:val="16"/>
                <w:szCs w:val="16"/>
                <w:lang w:eastAsia="pl-PL"/>
              </w:rPr>
              <w:t>Modules</w:t>
            </w:r>
          </w:p>
        </w:tc>
      </w:tr>
      <w:tr w:rsidR="00FD09CB" w:rsidRPr="001C2990" w:rsidTr="001C7E21">
        <w:trPr>
          <w:trHeight w:val="170"/>
        </w:trPr>
        <w:tc>
          <w:tcPr>
            <w:tcW w:w="1254" w:type="dxa"/>
            <w:vMerge/>
            <w:shd w:val="clear" w:color="auto" w:fill="D9D9D9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rFonts w:ascii="Lato Semibold" w:hAnsi="Lato Semibold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14" w:type="dxa"/>
            <w:vMerge/>
            <w:shd w:val="clear" w:color="auto" w:fill="D9D9D9"/>
            <w:noWrap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1" w:type="dxa"/>
            <w:shd w:val="clear" w:color="auto" w:fill="D9D9D9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Annual reporting Solo, </w:t>
            </w:r>
            <w:r w:rsidR="00C469B9">
              <w:rPr>
                <w:b/>
                <w:bCs/>
                <w:color w:val="000000"/>
                <w:sz w:val="16"/>
                <w:szCs w:val="16"/>
                <w:lang w:eastAsia="pl-PL"/>
              </w:rPr>
              <w:t>Branches*,</w:t>
            </w:r>
            <w:r w:rsidR="00C469B9" w:rsidRPr="001C2990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C2990">
              <w:rPr>
                <w:b/>
                <w:bCs/>
                <w:color w:val="000000"/>
                <w:sz w:val="16"/>
                <w:szCs w:val="16"/>
                <w:lang w:eastAsia="pl-PL"/>
              </w:rPr>
              <w:t>Group and Third country branches</w:t>
            </w:r>
          </w:p>
        </w:tc>
        <w:tc>
          <w:tcPr>
            <w:tcW w:w="1488" w:type="dxa"/>
            <w:shd w:val="clear" w:color="auto" w:fill="D9D9D9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b/>
                <w:bCs/>
                <w:color w:val="000000"/>
                <w:sz w:val="16"/>
                <w:szCs w:val="16"/>
                <w:lang w:eastAsia="pl-PL"/>
              </w:rPr>
              <w:t>Semi-annual reporting Solo</w:t>
            </w:r>
            <w:r w:rsidR="003758DB">
              <w:rPr>
                <w:b/>
                <w:bCs/>
                <w:color w:val="000000"/>
                <w:sz w:val="16"/>
                <w:szCs w:val="16"/>
                <w:lang w:eastAsia="pl-PL"/>
              </w:rPr>
              <w:t>, Branches</w:t>
            </w:r>
            <w:r w:rsidR="00E82C88">
              <w:rPr>
                <w:b/>
                <w:bCs/>
                <w:color w:val="000000"/>
                <w:sz w:val="16"/>
                <w:szCs w:val="16"/>
                <w:lang w:eastAsia="pl-PL"/>
              </w:rPr>
              <w:t>*</w:t>
            </w:r>
            <w:r w:rsidR="003758DB">
              <w:rPr>
                <w:b/>
                <w:bCs/>
                <w:color w:val="000000"/>
                <w:sz w:val="16"/>
                <w:szCs w:val="16"/>
                <w:lang w:eastAsia="pl-PL"/>
              </w:rPr>
              <w:t>,</w:t>
            </w:r>
            <w:r w:rsidRPr="001C2990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and Group</w:t>
            </w:r>
          </w:p>
        </w:tc>
        <w:tc>
          <w:tcPr>
            <w:tcW w:w="1559" w:type="dxa"/>
            <w:shd w:val="clear" w:color="auto" w:fill="D9D9D9"/>
            <w:hideMark/>
          </w:tcPr>
          <w:p w:rsidR="00FD09CB" w:rsidRPr="001C2990" w:rsidRDefault="001C7E21" w:rsidP="001C7E21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Quarterly reporting Solo,</w:t>
            </w:r>
            <w:r w:rsidR="00FD09CB" w:rsidRPr="001C2990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Group</w:t>
            </w: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, Branches</w:t>
            </w:r>
            <w:r w:rsidR="00E82C88">
              <w:rPr>
                <w:b/>
                <w:bCs/>
                <w:color w:val="000000"/>
                <w:sz w:val="16"/>
                <w:szCs w:val="16"/>
                <w:lang w:eastAsia="pl-PL"/>
              </w:rPr>
              <w:t>*</w:t>
            </w: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and Third country branches</w:t>
            </w:r>
            <w:r>
              <w:rPr>
                <w:color w:val="000000"/>
                <w:sz w:val="16"/>
                <w:szCs w:val="16"/>
                <w:vertAlign w:val="superscript"/>
                <w:lang w:eastAsia="pl-PL"/>
              </w:rPr>
              <w:t>1</w:t>
            </w:r>
          </w:p>
        </w:tc>
      </w:tr>
      <w:tr w:rsidR="00FD09CB" w:rsidRPr="001C2990" w:rsidTr="001C7E21">
        <w:trPr>
          <w:trHeight w:val="397"/>
        </w:trPr>
        <w:tc>
          <w:tcPr>
            <w:tcW w:w="1254" w:type="dxa"/>
            <w:shd w:val="clear" w:color="auto" w:fill="auto"/>
            <w:noWrap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  <w:t>NST.01.01.01</w:t>
            </w:r>
          </w:p>
        </w:tc>
        <w:tc>
          <w:tcPr>
            <w:tcW w:w="3614" w:type="dxa"/>
            <w:shd w:val="clear" w:color="auto" w:fill="auto"/>
            <w:noWrap/>
            <w:hideMark/>
          </w:tcPr>
          <w:p w:rsidR="00FD09CB" w:rsidRPr="001C2990" w:rsidRDefault="00FD09CB" w:rsidP="001C2990">
            <w:pPr>
              <w:spacing w:after="0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Non-Life Income Statement (Annual)</w:t>
            </w:r>
          </w:p>
        </w:tc>
        <w:tc>
          <w:tcPr>
            <w:tcW w:w="1441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88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FD09CB" w:rsidRPr="001C2990" w:rsidTr="001C7E21">
        <w:trPr>
          <w:trHeight w:val="397"/>
        </w:trPr>
        <w:tc>
          <w:tcPr>
            <w:tcW w:w="1254" w:type="dxa"/>
            <w:shd w:val="clear" w:color="auto" w:fill="D9D9D9"/>
            <w:noWrap/>
          </w:tcPr>
          <w:p w:rsidR="00FD09CB" w:rsidRPr="001C2990" w:rsidRDefault="00FD09CB" w:rsidP="001C2990">
            <w:pPr>
              <w:spacing w:after="0"/>
              <w:jc w:val="center"/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  <w:t>NST.01.01.03</w:t>
            </w:r>
          </w:p>
        </w:tc>
        <w:tc>
          <w:tcPr>
            <w:tcW w:w="3614" w:type="dxa"/>
            <w:shd w:val="clear" w:color="auto" w:fill="D9D9D9"/>
            <w:noWrap/>
          </w:tcPr>
          <w:p w:rsidR="00FD09CB" w:rsidRPr="001C2990" w:rsidRDefault="00FD09CB" w:rsidP="001C2990">
            <w:pPr>
              <w:spacing w:after="0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Non-Life Income Statement (Quarterly)</w:t>
            </w:r>
          </w:p>
        </w:tc>
        <w:tc>
          <w:tcPr>
            <w:tcW w:w="1441" w:type="dxa"/>
            <w:shd w:val="clear" w:color="auto" w:fill="D9D9D9"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shd w:val="clear" w:color="auto" w:fill="D9D9D9"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D9D9D9"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FD09CB" w:rsidRPr="001C2990" w:rsidTr="001C7E21">
        <w:trPr>
          <w:trHeight w:val="397"/>
        </w:trPr>
        <w:tc>
          <w:tcPr>
            <w:tcW w:w="1254" w:type="dxa"/>
            <w:shd w:val="clear" w:color="auto" w:fill="auto"/>
            <w:noWrap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  <w:t>NST.02.01.01</w:t>
            </w:r>
          </w:p>
        </w:tc>
        <w:tc>
          <w:tcPr>
            <w:tcW w:w="3614" w:type="dxa"/>
            <w:shd w:val="clear" w:color="auto" w:fill="auto"/>
            <w:noWrap/>
            <w:hideMark/>
          </w:tcPr>
          <w:p w:rsidR="00FD09CB" w:rsidRPr="001C2990" w:rsidRDefault="00FD09CB" w:rsidP="001C2990">
            <w:pPr>
              <w:spacing w:after="0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Life Income Statement (Annual)</w:t>
            </w:r>
          </w:p>
        </w:tc>
        <w:tc>
          <w:tcPr>
            <w:tcW w:w="1441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88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FD09CB" w:rsidRPr="001C2990" w:rsidTr="001C7E21">
        <w:trPr>
          <w:trHeight w:val="397"/>
        </w:trPr>
        <w:tc>
          <w:tcPr>
            <w:tcW w:w="1254" w:type="dxa"/>
            <w:shd w:val="clear" w:color="auto" w:fill="D9D9D9"/>
            <w:noWrap/>
          </w:tcPr>
          <w:p w:rsidR="00FD09CB" w:rsidRPr="001C2990" w:rsidRDefault="00FD09CB" w:rsidP="001C2990">
            <w:pPr>
              <w:spacing w:after="0"/>
              <w:jc w:val="center"/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  <w:t>NST.02.01.03</w:t>
            </w:r>
          </w:p>
        </w:tc>
        <w:tc>
          <w:tcPr>
            <w:tcW w:w="3614" w:type="dxa"/>
            <w:shd w:val="clear" w:color="auto" w:fill="D9D9D9"/>
            <w:noWrap/>
          </w:tcPr>
          <w:p w:rsidR="00FD09CB" w:rsidRPr="001C2990" w:rsidRDefault="00FD09CB" w:rsidP="001C2990">
            <w:pPr>
              <w:spacing w:after="0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Life Income Statement (Quarterly)</w:t>
            </w:r>
          </w:p>
        </w:tc>
        <w:tc>
          <w:tcPr>
            <w:tcW w:w="1441" w:type="dxa"/>
            <w:shd w:val="clear" w:color="auto" w:fill="D9D9D9"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shd w:val="clear" w:color="auto" w:fill="D9D9D9"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D9D9D9"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FD09CB" w:rsidRPr="001C2990" w:rsidTr="001C7E21">
        <w:trPr>
          <w:trHeight w:val="397"/>
        </w:trPr>
        <w:tc>
          <w:tcPr>
            <w:tcW w:w="1254" w:type="dxa"/>
            <w:shd w:val="clear" w:color="auto" w:fill="auto"/>
            <w:noWrap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  <w:t>NST.03</w:t>
            </w:r>
          </w:p>
        </w:tc>
        <w:tc>
          <w:tcPr>
            <w:tcW w:w="3614" w:type="dxa"/>
            <w:shd w:val="clear" w:color="auto" w:fill="auto"/>
            <w:noWrap/>
            <w:hideMark/>
          </w:tcPr>
          <w:p w:rsidR="00FD09CB" w:rsidRPr="001C2990" w:rsidRDefault="00FD09CB" w:rsidP="001C2990">
            <w:pPr>
              <w:spacing w:after="0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Non-life Technical Provisions - Detailed Split by LOB and Distribution Channel</w:t>
            </w:r>
          </w:p>
        </w:tc>
        <w:tc>
          <w:tcPr>
            <w:tcW w:w="1441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88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559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FD09CB" w:rsidRPr="001C2990" w:rsidTr="001C7E21">
        <w:trPr>
          <w:trHeight w:val="397"/>
        </w:trPr>
        <w:tc>
          <w:tcPr>
            <w:tcW w:w="1254" w:type="dxa"/>
            <w:shd w:val="clear" w:color="auto" w:fill="D9D9D9"/>
            <w:noWrap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  <w:t>NST.04</w:t>
            </w:r>
          </w:p>
        </w:tc>
        <w:tc>
          <w:tcPr>
            <w:tcW w:w="3614" w:type="dxa"/>
            <w:shd w:val="clear" w:color="auto" w:fill="D9D9D9"/>
            <w:noWrap/>
            <w:hideMark/>
          </w:tcPr>
          <w:p w:rsidR="00FD09CB" w:rsidRPr="001C2990" w:rsidRDefault="00FD09CB" w:rsidP="001C2990">
            <w:pPr>
              <w:spacing w:after="0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Non-life Technical Provisions - Detailed Split by LOB and Distribution Channel, Currency and Country</w:t>
            </w:r>
          </w:p>
        </w:tc>
        <w:tc>
          <w:tcPr>
            <w:tcW w:w="1441" w:type="dxa"/>
            <w:shd w:val="clear" w:color="auto" w:fill="D9D9D9"/>
            <w:hideMark/>
          </w:tcPr>
          <w:p w:rsidR="00FD09CB" w:rsidRPr="001C2990" w:rsidRDefault="00C469B9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X</w:t>
            </w:r>
            <w:r w:rsidRPr="003F176A">
              <w:rPr>
                <w:color w:val="000000"/>
                <w:sz w:val="16"/>
                <w:szCs w:val="16"/>
                <w:vertAlign w:val="superscript"/>
                <w:lang w:eastAsia="pl-PL"/>
              </w:rPr>
              <w:t>4</w:t>
            </w:r>
          </w:p>
        </w:tc>
        <w:tc>
          <w:tcPr>
            <w:tcW w:w="1488" w:type="dxa"/>
            <w:shd w:val="clear" w:color="auto" w:fill="D9D9D9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X</w:t>
            </w:r>
            <w:r w:rsidR="00C469B9" w:rsidRPr="003F176A">
              <w:rPr>
                <w:color w:val="000000"/>
                <w:sz w:val="16"/>
                <w:szCs w:val="16"/>
                <w:vertAlign w:val="superscript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D9D9D9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FD09CB" w:rsidRPr="001C2990" w:rsidTr="001C7E21">
        <w:trPr>
          <w:trHeight w:val="397"/>
        </w:trPr>
        <w:tc>
          <w:tcPr>
            <w:tcW w:w="1254" w:type="dxa"/>
            <w:shd w:val="clear" w:color="auto" w:fill="auto"/>
            <w:noWrap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  <w:t>NST.05</w:t>
            </w:r>
          </w:p>
        </w:tc>
        <w:tc>
          <w:tcPr>
            <w:tcW w:w="3614" w:type="dxa"/>
            <w:shd w:val="clear" w:color="auto" w:fill="auto"/>
            <w:noWrap/>
            <w:hideMark/>
          </w:tcPr>
          <w:p w:rsidR="00FD09CB" w:rsidRPr="001C2990" w:rsidRDefault="00FD09CB" w:rsidP="001C2990">
            <w:pPr>
              <w:spacing w:after="0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Projection of future cash flows (Best Estimate - Non Life) - split by Claims type</w:t>
            </w:r>
          </w:p>
        </w:tc>
        <w:tc>
          <w:tcPr>
            <w:tcW w:w="1441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88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559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FD09CB" w:rsidRPr="001C2990" w:rsidTr="001C7E21">
        <w:trPr>
          <w:trHeight w:val="397"/>
        </w:trPr>
        <w:tc>
          <w:tcPr>
            <w:tcW w:w="1254" w:type="dxa"/>
            <w:shd w:val="clear" w:color="auto" w:fill="D9D9D9"/>
            <w:noWrap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  <w:t>NST.06</w:t>
            </w:r>
          </w:p>
        </w:tc>
        <w:tc>
          <w:tcPr>
            <w:tcW w:w="3614" w:type="dxa"/>
            <w:shd w:val="clear" w:color="auto" w:fill="D9D9D9"/>
            <w:noWrap/>
            <w:hideMark/>
          </w:tcPr>
          <w:p w:rsidR="00FD09CB" w:rsidRPr="001C2990" w:rsidRDefault="00FD09CB" w:rsidP="001C2990">
            <w:pPr>
              <w:spacing w:after="0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Non-life Insurance Claims Information - Detailed split by Distribution Channel and Claims Type</w:t>
            </w:r>
          </w:p>
        </w:tc>
        <w:tc>
          <w:tcPr>
            <w:tcW w:w="1441" w:type="dxa"/>
            <w:shd w:val="clear" w:color="auto" w:fill="D9D9D9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88" w:type="dxa"/>
            <w:shd w:val="clear" w:color="auto" w:fill="D9D9D9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559" w:type="dxa"/>
            <w:shd w:val="clear" w:color="auto" w:fill="D9D9D9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FD09CB" w:rsidRPr="001C2990" w:rsidTr="001C7E21">
        <w:trPr>
          <w:trHeight w:val="397"/>
        </w:trPr>
        <w:tc>
          <w:tcPr>
            <w:tcW w:w="1254" w:type="dxa"/>
            <w:shd w:val="clear" w:color="auto" w:fill="auto"/>
            <w:noWrap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  <w:t>NST.07</w:t>
            </w:r>
          </w:p>
        </w:tc>
        <w:tc>
          <w:tcPr>
            <w:tcW w:w="3614" w:type="dxa"/>
            <w:shd w:val="clear" w:color="auto" w:fill="auto"/>
            <w:noWrap/>
            <w:hideMark/>
          </w:tcPr>
          <w:p w:rsidR="00FD09CB" w:rsidRPr="001C2990" w:rsidRDefault="00FD09CB" w:rsidP="001C2990">
            <w:pPr>
              <w:spacing w:after="0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Non-Life Premiums, claims and expenses. Detailed split by Class and Distribution Channel</w:t>
            </w:r>
          </w:p>
        </w:tc>
        <w:tc>
          <w:tcPr>
            <w:tcW w:w="1441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88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559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FD09CB" w:rsidRPr="001C2990" w:rsidTr="001C7E21">
        <w:trPr>
          <w:trHeight w:val="397"/>
        </w:trPr>
        <w:tc>
          <w:tcPr>
            <w:tcW w:w="1254" w:type="dxa"/>
            <w:shd w:val="clear" w:color="auto" w:fill="D9D9D9"/>
            <w:noWrap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  <w:t>NST.08</w:t>
            </w:r>
          </w:p>
        </w:tc>
        <w:tc>
          <w:tcPr>
            <w:tcW w:w="3614" w:type="dxa"/>
            <w:shd w:val="clear" w:color="auto" w:fill="D9D9D9"/>
            <w:noWrap/>
            <w:hideMark/>
          </w:tcPr>
          <w:p w:rsidR="00FD09CB" w:rsidRPr="001C2990" w:rsidRDefault="00FD09CB" w:rsidP="001C2990">
            <w:pPr>
              <w:spacing w:after="0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Variable Annuity P&amp;L Attribution (Liability)</w:t>
            </w:r>
          </w:p>
        </w:tc>
        <w:tc>
          <w:tcPr>
            <w:tcW w:w="1441" w:type="dxa"/>
            <w:shd w:val="clear" w:color="auto" w:fill="D9D9D9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shd w:val="clear" w:color="auto" w:fill="D9D9D9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D9D9D9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FD09CB" w:rsidRPr="001C2990" w:rsidTr="001C7E21">
        <w:trPr>
          <w:trHeight w:val="397"/>
        </w:trPr>
        <w:tc>
          <w:tcPr>
            <w:tcW w:w="1254" w:type="dxa"/>
            <w:shd w:val="clear" w:color="auto" w:fill="auto"/>
            <w:noWrap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  <w:t>NST.09</w:t>
            </w:r>
          </w:p>
        </w:tc>
        <w:tc>
          <w:tcPr>
            <w:tcW w:w="3614" w:type="dxa"/>
            <w:shd w:val="clear" w:color="auto" w:fill="auto"/>
            <w:noWrap/>
            <w:hideMark/>
          </w:tcPr>
          <w:p w:rsidR="00FD09CB" w:rsidRPr="001C2990" w:rsidRDefault="00FD09CB" w:rsidP="001C2990">
            <w:pPr>
              <w:spacing w:after="0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Variable Annuity P&amp;L Attribution (Asset)</w:t>
            </w:r>
          </w:p>
        </w:tc>
        <w:tc>
          <w:tcPr>
            <w:tcW w:w="1441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FD09CB" w:rsidRPr="001C2990" w:rsidTr="001C7E21">
        <w:trPr>
          <w:trHeight w:val="397"/>
        </w:trPr>
        <w:tc>
          <w:tcPr>
            <w:tcW w:w="1254" w:type="dxa"/>
            <w:shd w:val="clear" w:color="auto" w:fill="D9D9D9"/>
            <w:noWrap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  <w:t>NST.10</w:t>
            </w:r>
          </w:p>
        </w:tc>
        <w:tc>
          <w:tcPr>
            <w:tcW w:w="3614" w:type="dxa"/>
            <w:shd w:val="clear" w:color="auto" w:fill="D9D9D9"/>
            <w:noWrap/>
            <w:hideMark/>
          </w:tcPr>
          <w:p w:rsidR="00FD09CB" w:rsidRPr="001C2990" w:rsidRDefault="00FD09CB" w:rsidP="001C2990">
            <w:pPr>
              <w:spacing w:after="0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Variable Annuity P&amp;L Attribution (Other)</w:t>
            </w:r>
          </w:p>
        </w:tc>
        <w:tc>
          <w:tcPr>
            <w:tcW w:w="1441" w:type="dxa"/>
            <w:shd w:val="clear" w:color="auto" w:fill="D9D9D9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shd w:val="clear" w:color="auto" w:fill="D9D9D9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D9D9D9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FD09CB" w:rsidRPr="001C2990" w:rsidTr="001C7E21">
        <w:trPr>
          <w:trHeight w:val="397"/>
        </w:trPr>
        <w:tc>
          <w:tcPr>
            <w:tcW w:w="1254" w:type="dxa"/>
            <w:shd w:val="clear" w:color="auto" w:fill="auto"/>
            <w:noWrap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  <w:t>NST.11</w:t>
            </w:r>
          </w:p>
        </w:tc>
        <w:tc>
          <w:tcPr>
            <w:tcW w:w="3614" w:type="dxa"/>
            <w:shd w:val="clear" w:color="auto" w:fill="auto"/>
            <w:noWrap/>
            <w:hideMark/>
          </w:tcPr>
          <w:p w:rsidR="00FD09CB" w:rsidRPr="001C2990" w:rsidRDefault="00FD09CB" w:rsidP="001C2990">
            <w:pPr>
              <w:spacing w:after="0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Variable Annuity Stress Tests</w:t>
            </w:r>
          </w:p>
        </w:tc>
        <w:tc>
          <w:tcPr>
            <w:tcW w:w="1441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09CB" w:rsidRPr="001C2990" w:rsidRDefault="001C7E21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X</w:t>
            </w:r>
            <w:r>
              <w:rPr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</w:tr>
      <w:tr w:rsidR="00FD09CB" w:rsidRPr="001C2990" w:rsidTr="001C7E21">
        <w:trPr>
          <w:trHeight w:val="397"/>
        </w:trPr>
        <w:tc>
          <w:tcPr>
            <w:tcW w:w="1254" w:type="dxa"/>
            <w:shd w:val="clear" w:color="auto" w:fill="D9D9D9"/>
            <w:noWrap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  <w:t>NST.12</w:t>
            </w:r>
          </w:p>
        </w:tc>
        <w:tc>
          <w:tcPr>
            <w:tcW w:w="3614" w:type="dxa"/>
            <w:shd w:val="clear" w:color="auto" w:fill="D9D9D9"/>
            <w:noWrap/>
            <w:hideMark/>
          </w:tcPr>
          <w:p w:rsidR="00FD09CB" w:rsidRPr="001C2990" w:rsidRDefault="00FD09CB" w:rsidP="001C2990">
            <w:pPr>
              <w:spacing w:after="0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Quarterly Aggregate Balance Sheet Statement</w:t>
            </w:r>
          </w:p>
        </w:tc>
        <w:tc>
          <w:tcPr>
            <w:tcW w:w="1441" w:type="dxa"/>
            <w:shd w:val="clear" w:color="auto" w:fill="D9D9D9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shd w:val="clear" w:color="auto" w:fill="D9D9D9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D9D9D9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FD09CB" w:rsidRPr="001C2990" w:rsidTr="001C7E21">
        <w:trPr>
          <w:trHeight w:val="397"/>
        </w:trPr>
        <w:tc>
          <w:tcPr>
            <w:tcW w:w="1254" w:type="dxa"/>
            <w:shd w:val="clear" w:color="auto" w:fill="auto"/>
            <w:noWrap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  <w:t>NST.13</w:t>
            </w:r>
          </w:p>
        </w:tc>
        <w:tc>
          <w:tcPr>
            <w:tcW w:w="3614" w:type="dxa"/>
            <w:shd w:val="clear" w:color="auto" w:fill="auto"/>
            <w:noWrap/>
            <w:hideMark/>
          </w:tcPr>
          <w:p w:rsidR="00FD09CB" w:rsidRPr="001C2990" w:rsidRDefault="00FD09CB" w:rsidP="001C2990">
            <w:pPr>
              <w:spacing w:after="0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Quarterly Aggregate Reporting of Security Holdings</w:t>
            </w:r>
          </w:p>
        </w:tc>
        <w:tc>
          <w:tcPr>
            <w:tcW w:w="1441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FD09CB" w:rsidRPr="001C2990" w:rsidTr="001C7E21">
        <w:trPr>
          <w:trHeight w:val="397"/>
        </w:trPr>
        <w:tc>
          <w:tcPr>
            <w:tcW w:w="1254" w:type="dxa"/>
            <w:shd w:val="clear" w:color="auto" w:fill="D9D9D9"/>
            <w:noWrap/>
          </w:tcPr>
          <w:p w:rsidR="00FD09CB" w:rsidRPr="001C2990" w:rsidRDefault="00FD09CB" w:rsidP="001C2990">
            <w:pPr>
              <w:spacing w:after="0"/>
              <w:jc w:val="center"/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rFonts w:ascii="Lato Semibold" w:hAnsi="Lato Semibold"/>
                <w:color w:val="000000"/>
                <w:sz w:val="16"/>
                <w:szCs w:val="16"/>
                <w:lang w:eastAsia="pl-PL"/>
              </w:rPr>
              <w:lastRenderedPageBreak/>
              <w:t>NST.14</w:t>
            </w:r>
          </w:p>
        </w:tc>
        <w:tc>
          <w:tcPr>
            <w:tcW w:w="3614" w:type="dxa"/>
            <w:shd w:val="clear" w:color="auto" w:fill="D9D9D9"/>
            <w:noWrap/>
          </w:tcPr>
          <w:p w:rsidR="00FD09CB" w:rsidRPr="001C2990" w:rsidRDefault="00FD09CB" w:rsidP="001C2990">
            <w:pPr>
              <w:spacing w:after="0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Non-Life business – policy and customer information</w:t>
            </w:r>
          </w:p>
        </w:tc>
        <w:tc>
          <w:tcPr>
            <w:tcW w:w="1441" w:type="dxa"/>
            <w:shd w:val="clear" w:color="auto" w:fill="D9D9D9"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shd w:val="clear" w:color="auto" w:fill="D9D9D9"/>
          </w:tcPr>
          <w:p w:rsidR="00FD09CB" w:rsidRPr="001C2990" w:rsidRDefault="00FD09CB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D9D9D9"/>
          </w:tcPr>
          <w:p w:rsidR="00FD09CB" w:rsidRPr="001C2990" w:rsidRDefault="001C7E21" w:rsidP="001C2990">
            <w:pPr>
              <w:spacing w:after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1C2990">
              <w:rPr>
                <w:color w:val="000000"/>
                <w:sz w:val="16"/>
                <w:szCs w:val="16"/>
                <w:lang w:eastAsia="pl-PL"/>
              </w:rPr>
              <w:t>X</w:t>
            </w:r>
            <w:r>
              <w:rPr>
                <w:color w:val="000000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</w:tr>
    </w:tbl>
    <w:p w:rsidR="00FD09CB" w:rsidRPr="003F176A" w:rsidRDefault="00E82C88" w:rsidP="003F176A">
      <w:pPr>
        <w:spacing w:line="259" w:lineRule="auto"/>
        <w:rPr>
          <w:lang w:val="en-GB"/>
        </w:rPr>
      </w:pPr>
      <w:r w:rsidRPr="00524480">
        <w:rPr>
          <w:lang w:val="en-GB"/>
        </w:rPr>
        <w:t>(*Branches above th</w:t>
      </w:r>
      <w:r>
        <w:rPr>
          <w:lang w:val="en-GB"/>
        </w:rPr>
        <w:t>e threshold.)</w:t>
      </w:r>
    </w:p>
    <w:p w:rsidR="001C7E21" w:rsidRDefault="001C7E21" w:rsidP="00FD09CB">
      <w:pPr>
        <w:jc w:val="both"/>
        <w:rPr>
          <w:rFonts w:cs="Arial"/>
        </w:rPr>
      </w:pPr>
      <w:r w:rsidRPr="001C7E21">
        <w:rPr>
          <w:rFonts w:cs="Arial"/>
          <w:vertAlign w:val="superscript"/>
        </w:rPr>
        <w:t>1</w:t>
      </w:r>
      <w:r w:rsidRPr="001C7E21">
        <w:rPr>
          <w:rFonts w:cs="Arial"/>
        </w:rPr>
        <w:t>Only NST.13 and NST.14 are required for Third Country Branches.</w:t>
      </w:r>
    </w:p>
    <w:p w:rsidR="001A39E6" w:rsidRPr="001A39E6" w:rsidRDefault="001A39E6" w:rsidP="00311311">
      <w:pPr>
        <w:jc w:val="both"/>
        <w:rPr>
          <w:rFonts w:cs="Arial"/>
        </w:rPr>
      </w:pPr>
      <w:r w:rsidRPr="001A39E6">
        <w:rPr>
          <w:rFonts w:cs="Arial"/>
          <w:vertAlign w:val="superscript"/>
        </w:rPr>
        <w:t>2</w:t>
      </w:r>
      <w:r w:rsidRPr="001A39E6">
        <w:rPr>
          <w:rFonts w:cs="Arial"/>
        </w:rPr>
        <w:t>Please note that NST.11 should only be reported for Q2. It is not required for Q1, Q3 or Q4. For further details, see link to NST.11 – Technical Specifications in Table 1 above.</w:t>
      </w:r>
    </w:p>
    <w:p w:rsidR="001A39E6" w:rsidRDefault="001A39E6" w:rsidP="001A39E6">
      <w:pPr>
        <w:jc w:val="both"/>
        <w:rPr>
          <w:rFonts w:cs="Arial"/>
        </w:rPr>
      </w:pPr>
      <w:r w:rsidRPr="001A39E6">
        <w:rPr>
          <w:rFonts w:cs="Arial"/>
          <w:vertAlign w:val="superscript"/>
        </w:rPr>
        <w:t>3</w:t>
      </w:r>
      <w:r w:rsidRPr="001A39E6">
        <w:rPr>
          <w:rFonts w:cs="Arial"/>
        </w:rPr>
        <w:t>NST.14 should only be reported in Q2 and Q4. NST.14 is not required from Branches.</w:t>
      </w:r>
    </w:p>
    <w:p w:rsidR="00C469B9" w:rsidRDefault="00C469B9" w:rsidP="001A39E6">
      <w:pPr>
        <w:jc w:val="both"/>
        <w:rPr>
          <w:rFonts w:cs="Arial"/>
        </w:rPr>
      </w:pPr>
      <w:r>
        <w:rPr>
          <w:rFonts w:cs="Arial"/>
          <w:vertAlign w:val="superscript"/>
        </w:rPr>
        <w:t>4</w:t>
      </w:r>
      <w:r w:rsidRPr="001A39E6">
        <w:rPr>
          <w:rFonts w:cs="Arial"/>
        </w:rPr>
        <w:t>NST</w:t>
      </w:r>
      <w:r>
        <w:rPr>
          <w:rFonts w:cs="Arial"/>
        </w:rPr>
        <w:t>.04 is not required for Branches.</w:t>
      </w:r>
    </w:p>
    <w:p w:rsidR="006F16A7" w:rsidRPr="001C2990" w:rsidRDefault="006F16A7" w:rsidP="00FD09CB">
      <w:pPr>
        <w:jc w:val="both"/>
        <w:rPr>
          <w:rFonts w:cs="Arial"/>
        </w:rPr>
      </w:pPr>
    </w:p>
    <w:p w:rsidR="00FD09CB" w:rsidRPr="001C2990" w:rsidRDefault="00FD09CB" w:rsidP="00FD09CB">
      <w:pPr>
        <w:pStyle w:val="CBHeading2"/>
      </w:pPr>
      <w:bookmarkStart w:id="9" w:name="_Toc24034815"/>
      <w:r>
        <w:t>DPM</w:t>
      </w:r>
      <w:bookmarkStart w:id="10" w:name="_Toc529278255"/>
      <w:bookmarkEnd w:id="9"/>
    </w:p>
    <w:p w:rsidR="00FD09CB" w:rsidRDefault="00FD09CB" w:rsidP="007E05A6">
      <w:pPr>
        <w:pStyle w:val="BodyCopy"/>
      </w:pPr>
      <w:r w:rsidRPr="00180CD3">
        <w:t xml:space="preserve">For </w:t>
      </w:r>
      <w:r>
        <w:t xml:space="preserve">the </w:t>
      </w:r>
      <w:r w:rsidRPr="00180CD3">
        <w:t>DPM ex</w:t>
      </w:r>
      <w:r w:rsidR="007E05A6">
        <w:t>pla</w:t>
      </w:r>
      <w:r w:rsidRPr="00180CD3">
        <w:t xml:space="preserve">nation and its application in the context of NST reporting please see </w:t>
      </w:r>
      <w:hyperlink r:id="rId32" w:history="1">
        <w:r w:rsidR="00354222">
          <w:rPr>
            <w:rStyle w:val="Hyperlink"/>
            <w:rFonts w:cs="Arial"/>
          </w:rPr>
          <w:t>CBI N</w:t>
        </w:r>
        <w:r w:rsidRPr="002B5193">
          <w:rPr>
            <w:rStyle w:val="Hyperlink"/>
            <w:rFonts w:cs="Arial"/>
          </w:rPr>
          <w:t>ST</w:t>
        </w:r>
        <w:r w:rsidR="00354222">
          <w:rPr>
            <w:rStyle w:val="Hyperlink"/>
            <w:rFonts w:cs="Arial"/>
          </w:rPr>
          <w:t xml:space="preserve"> 1.5.0</w:t>
        </w:r>
        <w:r w:rsidRPr="002B5193">
          <w:rPr>
            <w:rStyle w:val="Hyperlink"/>
            <w:rFonts w:cs="Arial"/>
          </w:rPr>
          <w:t xml:space="preserve"> DPM Documentation</w:t>
        </w:r>
      </w:hyperlink>
      <w:r w:rsidRPr="00180CD3">
        <w:t>.</w:t>
      </w:r>
    </w:p>
    <w:p w:rsidR="006F16A7" w:rsidRPr="00180CD3" w:rsidRDefault="006F16A7" w:rsidP="00FD09CB">
      <w:pPr>
        <w:pStyle w:val="BodyCopy"/>
      </w:pPr>
    </w:p>
    <w:p w:rsidR="00FD09CB" w:rsidRPr="001C2990" w:rsidRDefault="00FD09CB" w:rsidP="006A49E2">
      <w:pPr>
        <w:pStyle w:val="CBHeading2"/>
        <w:rPr>
          <w:lang w:val="en-GB"/>
        </w:rPr>
      </w:pPr>
      <w:bookmarkStart w:id="11" w:name="_Toc24034816"/>
      <w:r w:rsidRPr="00A16C77">
        <w:rPr>
          <w:lang w:val="en-GB"/>
        </w:rPr>
        <w:t>XBRL</w:t>
      </w:r>
      <w:bookmarkEnd w:id="11"/>
    </w:p>
    <w:p w:rsidR="00FD09CB" w:rsidRDefault="00FD09CB" w:rsidP="006A49E2">
      <w:pPr>
        <w:pStyle w:val="BodyCopy"/>
      </w:pPr>
      <w:r w:rsidRPr="00180CD3">
        <w:t xml:space="preserve">For </w:t>
      </w:r>
      <w:r>
        <w:t xml:space="preserve">the </w:t>
      </w:r>
      <w:r w:rsidRPr="00180CD3">
        <w:t xml:space="preserve">description of use of XBRL standard to reflect the NST reporting please see the </w:t>
      </w:r>
      <w:hyperlink r:id="rId33" w:history="1">
        <w:r w:rsidR="00354222">
          <w:rPr>
            <w:rStyle w:val="Hyperlink"/>
            <w:rFonts w:cs="Arial"/>
          </w:rPr>
          <w:t>CBI N</w:t>
        </w:r>
        <w:r w:rsidRPr="002B5193">
          <w:rPr>
            <w:rStyle w:val="Hyperlink"/>
            <w:rFonts w:cs="Arial"/>
          </w:rPr>
          <w:t>ST</w:t>
        </w:r>
        <w:r w:rsidR="00354222">
          <w:rPr>
            <w:rStyle w:val="Hyperlink"/>
            <w:rFonts w:cs="Arial"/>
          </w:rPr>
          <w:t xml:space="preserve"> 1.5.0</w:t>
        </w:r>
        <w:r w:rsidRPr="002B5193">
          <w:rPr>
            <w:rStyle w:val="Hyperlink"/>
            <w:rFonts w:cs="Arial"/>
          </w:rPr>
          <w:t xml:space="preserve"> XBRL Taxonomy Documentation</w:t>
        </w:r>
      </w:hyperlink>
      <w:r w:rsidRPr="00180CD3">
        <w:t>.</w:t>
      </w:r>
    </w:p>
    <w:p w:rsidR="006F16A7" w:rsidRPr="001C2990" w:rsidRDefault="006F16A7" w:rsidP="006A49E2">
      <w:pPr>
        <w:pStyle w:val="BodyCopy"/>
      </w:pPr>
    </w:p>
    <w:p w:rsidR="00FD09CB" w:rsidRPr="001C2990" w:rsidRDefault="00FD09CB" w:rsidP="006A49E2">
      <w:pPr>
        <w:pStyle w:val="CBHeading2"/>
        <w:rPr>
          <w:lang w:val="en-GB"/>
        </w:rPr>
      </w:pPr>
      <w:bookmarkStart w:id="12" w:name="_Toc462063964"/>
      <w:bookmarkStart w:id="13" w:name="_Toc24034817"/>
      <w:r w:rsidRPr="00A16C77">
        <w:rPr>
          <w:lang w:val="en-GB"/>
        </w:rPr>
        <w:t>Taxonomy distribution</w:t>
      </w:r>
      <w:bookmarkEnd w:id="12"/>
      <w:bookmarkEnd w:id="13"/>
    </w:p>
    <w:p w:rsidR="00FD09CB" w:rsidRDefault="00FD09CB" w:rsidP="006A49E2">
      <w:pPr>
        <w:pStyle w:val="BodyCopy"/>
      </w:pPr>
      <w:r w:rsidRPr="00180CD3">
        <w:t xml:space="preserve">Taxonomy files are published </w:t>
      </w:r>
      <w:r>
        <w:t xml:space="preserve">as </w:t>
      </w:r>
      <w:r w:rsidRPr="00180CD3">
        <w:t xml:space="preserve">a compressed package for local use: </w:t>
      </w:r>
      <w:hyperlink r:id="rId34" w:history="1">
        <w:r w:rsidR="00354222">
          <w:rPr>
            <w:rStyle w:val="Hyperlink"/>
            <w:rFonts w:cs="Arial"/>
          </w:rPr>
          <w:t>CBI N</w:t>
        </w:r>
        <w:r w:rsidRPr="002B5193">
          <w:rPr>
            <w:rStyle w:val="Hyperlink"/>
            <w:rFonts w:cs="Arial"/>
          </w:rPr>
          <w:t xml:space="preserve">ST </w:t>
        </w:r>
        <w:r w:rsidR="00354222">
          <w:rPr>
            <w:rStyle w:val="Hyperlink"/>
            <w:rFonts w:cs="Arial"/>
          </w:rPr>
          <w:t xml:space="preserve">1.5.0 </w:t>
        </w:r>
        <w:r w:rsidRPr="002B5193">
          <w:rPr>
            <w:rStyle w:val="Hyperlink"/>
            <w:rFonts w:cs="Arial"/>
          </w:rPr>
          <w:t>Taxonomy Package</w:t>
        </w:r>
      </w:hyperlink>
      <w:r w:rsidRPr="00180CD3">
        <w:t xml:space="preserve">. All files </w:t>
      </w:r>
      <w:r>
        <w:t>are also</w:t>
      </w:r>
      <w:r w:rsidRPr="00180CD3">
        <w:t xml:space="preserve"> available in the canonical places under HTTP protocol </w:t>
      </w:r>
      <w:r>
        <w:t>in http://www.centralbank.ie/ie/xbrl.</w:t>
      </w:r>
    </w:p>
    <w:p w:rsidR="006F16A7" w:rsidRPr="001C2990" w:rsidRDefault="006F16A7" w:rsidP="006A49E2">
      <w:pPr>
        <w:pStyle w:val="BodyCopy"/>
      </w:pPr>
    </w:p>
    <w:p w:rsidR="00FD09CB" w:rsidRPr="001C2990" w:rsidRDefault="00FD09CB" w:rsidP="006A49E2">
      <w:pPr>
        <w:pStyle w:val="CBHeading2"/>
        <w:rPr>
          <w:lang w:val="en-GB"/>
        </w:rPr>
      </w:pPr>
      <w:bookmarkStart w:id="14" w:name="_Toc462063965"/>
      <w:bookmarkStart w:id="15" w:name="_Toc24034818"/>
      <w:r w:rsidRPr="00A16C77">
        <w:rPr>
          <w:lang w:val="en-GB"/>
        </w:rPr>
        <w:t>Sample XBRL instance documents</w:t>
      </w:r>
      <w:bookmarkEnd w:id="14"/>
      <w:bookmarkEnd w:id="15"/>
    </w:p>
    <w:p w:rsidR="00FD09CB" w:rsidRPr="001C2990" w:rsidRDefault="00FD09CB" w:rsidP="00FD09CB">
      <w:pPr>
        <w:spacing w:line="360" w:lineRule="auto"/>
        <w:jc w:val="both"/>
        <w:rPr>
          <w:rFonts w:cs="Arial"/>
        </w:rPr>
      </w:pPr>
      <w:r w:rsidRPr="001C2990">
        <w:rPr>
          <w:rFonts w:cs="Arial"/>
        </w:rPr>
        <w:t xml:space="preserve">The package contains sample XBRL instance documents for testing purposes. In the </w:t>
      </w:r>
      <w:hyperlink r:id="rId35" w:history="1">
        <w:r w:rsidRPr="001C2990">
          <w:rPr>
            <w:rStyle w:val="Hyperlink"/>
            <w:rFonts w:cs="Arial"/>
          </w:rPr>
          <w:t>CBI</w:t>
        </w:r>
        <w:r w:rsidR="00C329D7">
          <w:rPr>
            <w:rStyle w:val="Hyperlink"/>
            <w:rFonts w:cs="Arial"/>
          </w:rPr>
          <w:t xml:space="preserve"> </w:t>
        </w:r>
        <w:r w:rsidRPr="001C2990">
          <w:rPr>
            <w:rStyle w:val="Hyperlink"/>
            <w:rFonts w:cs="Arial"/>
          </w:rPr>
          <w:t>NST</w:t>
        </w:r>
        <w:r w:rsidR="00C329D7">
          <w:rPr>
            <w:rStyle w:val="Hyperlink"/>
            <w:rFonts w:cs="Arial"/>
          </w:rPr>
          <w:t xml:space="preserve"> 1.5.0 </w:t>
        </w:r>
        <w:r w:rsidRPr="001C2990">
          <w:rPr>
            <w:rStyle w:val="Hyperlink"/>
            <w:rFonts w:cs="Arial"/>
          </w:rPr>
          <w:t>XBRL</w:t>
        </w:r>
        <w:r w:rsidR="00C329D7">
          <w:rPr>
            <w:rStyle w:val="Hyperlink"/>
            <w:rFonts w:cs="Arial"/>
          </w:rPr>
          <w:t xml:space="preserve"> Test </w:t>
        </w:r>
        <w:r w:rsidRPr="001C2990">
          <w:rPr>
            <w:rStyle w:val="Hyperlink"/>
            <w:rFonts w:cs="Arial"/>
          </w:rPr>
          <w:t>Instance</w:t>
        </w:r>
        <w:r w:rsidR="003B594E">
          <w:rPr>
            <w:rStyle w:val="Hyperlink"/>
            <w:rFonts w:cs="Arial"/>
          </w:rPr>
          <w:t xml:space="preserve"> </w:t>
        </w:r>
        <w:r w:rsidRPr="001C2990">
          <w:rPr>
            <w:rStyle w:val="Hyperlink"/>
            <w:rFonts w:cs="Arial"/>
          </w:rPr>
          <w:t>Documents</w:t>
        </w:r>
      </w:hyperlink>
      <w:r w:rsidRPr="001C2990">
        <w:rPr>
          <w:rFonts w:cs="Arial"/>
        </w:rPr>
        <w:t>, there are instance examples for each entry point:</w:t>
      </w:r>
    </w:p>
    <w:p w:rsidR="00FD09CB" w:rsidRDefault="00FD09CB" w:rsidP="00E715FD">
      <w:pPr>
        <w:pStyle w:val="StyledBullets"/>
        <w:numPr>
          <w:ilvl w:val="1"/>
          <w:numId w:val="18"/>
        </w:numPr>
      </w:pPr>
      <w:r>
        <w:t>O</w:t>
      </w:r>
      <w:r w:rsidRPr="00180CD3">
        <w:t>ne contain</w:t>
      </w:r>
      <w:r>
        <w:t>ing</w:t>
      </w:r>
      <w:r w:rsidRPr="00180CD3">
        <w:t xml:space="preserve"> random data for every table cell</w:t>
      </w:r>
    </w:p>
    <w:p w:rsidR="00FD09CB" w:rsidRDefault="00FD09CB" w:rsidP="002B5193">
      <w:pPr>
        <w:pStyle w:val="StyledBullets"/>
        <w:numPr>
          <w:ilvl w:val="1"/>
          <w:numId w:val="18"/>
        </w:numPr>
        <w:spacing w:after="170"/>
        <w:ind w:left="568" w:hanging="284"/>
      </w:pPr>
      <w:r>
        <w:t>One containing</w:t>
      </w:r>
      <w:r w:rsidRPr="00180CD3">
        <w:t xml:space="preserve"> numeric values set to “zeros”</w:t>
      </w:r>
    </w:p>
    <w:p w:rsidR="00FD09CB" w:rsidRDefault="00FD09CB" w:rsidP="006A49E2">
      <w:pPr>
        <w:pStyle w:val="BodyCopy"/>
      </w:pPr>
      <w:r>
        <w:t>The sample XBRL instance names follow the standard Online Reporting naming convention:</w:t>
      </w:r>
    </w:p>
    <w:p w:rsidR="00FD09CB" w:rsidRPr="007513C1" w:rsidRDefault="00FD09CB" w:rsidP="006A49E2">
      <w:pPr>
        <w:pStyle w:val="BodyCopy"/>
      </w:pPr>
      <w:r w:rsidRPr="007513C1">
        <w:t>“</w:t>
      </w:r>
      <w:r w:rsidRPr="007513C1">
        <w:rPr>
          <w:i/>
        </w:rPr>
        <w:t>CCCCCCC_YYYYMMDD_XXXXXXXXXXX.ext</w:t>
      </w:r>
      <w:r w:rsidRPr="007513C1">
        <w:t>”</w:t>
      </w:r>
    </w:p>
    <w:p w:rsidR="00FD09CB" w:rsidRPr="007513C1" w:rsidRDefault="00FD09CB" w:rsidP="006A49E2">
      <w:pPr>
        <w:pStyle w:val="BodyCopy"/>
      </w:pPr>
      <w:r w:rsidRPr="007513C1">
        <w:t>where</w:t>
      </w:r>
    </w:p>
    <w:p w:rsidR="00FD09CB" w:rsidRPr="007513C1" w:rsidRDefault="00FD09CB" w:rsidP="006A49E2">
      <w:pPr>
        <w:pStyle w:val="StyledBullets"/>
      </w:pPr>
      <w:r w:rsidRPr="007513C1">
        <w:lastRenderedPageBreak/>
        <w:t>CCCCCCC is</w:t>
      </w:r>
      <w:r w:rsidR="00955B43">
        <w:t xml:space="preserve"> the institution code (The</w:t>
      </w:r>
      <w:r w:rsidRPr="007513C1">
        <w:t xml:space="preserve"> institution alphanumeric code used for logging into Online Reporting)</w:t>
      </w:r>
    </w:p>
    <w:p w:rsidR="00FD09CB" w:rsidRPr="007513C1" w:rsidRDefault="00FD09CB" w:rsidP="006A49E2">
      <w:pPr>
        <w:pStyle w:val="StyledBullets"/>
      </w:pPr>
      <w:r w:rsidRPr="007513C1">
        <w:t>YYYYMMDD is the return reporting dat</w:t>
      </w:r>
      <w:r w:rsidR="00955B43">
        <w:t>e (not submission date) e.g. 2022</w:t>
      </w:r>
      <w:r w:rsidRPr="007513C1">
        <w:t>1231</w:t>
      </w:r>
    </w:p>
    <w:p w:rsidR="00FD09CB" w:rsidRPr="007513C1" w:rsidRDefault="00FD09CB" w:rsidP="006A49E2">
      <w:pPr>
        <w:pStyle w:val="StyledBullets"/>
      </w:pPr>
      <w:r w:rsidRPr="007513C1">
        <w:t>XXXXXXXXXXX is the Solvency II “Retu</w:t>
      </w:r>
      <w:r>
        <w:t>rn File type” on the ONR system</w:t>
      </w:r>
    </w:p>
    <w:p w:rsidR="00FD09CB" w:rsidRPr="0081726E" w:rsidRDefault="00FD09CB" w:rsidP="006A49E2">
      <w:pPr>
        <w:pStyle w:val="StyledBullets"/>
      </w:pPr>
      <w:r w:rsidRPr="007513C1">
        <w:t>.ext is the file extension</w:t>
      </w:r>
      <w:r>
        <w:t xml:space="preserve"> - </w:t>
      </w:r>
      <w:r w:rsidRPr="007513C1">
        <w:t>either ‘.xbrl’ or ‘.zip’</w:t>
      </w:r>
    </w:p>
    <w:p w:rsidR="00FD09CB" w:rsidRDefault="00FD09CB" w:rsidP="006A49E2">
      <w:pPr>
        <w:pStyle w:val="BodyCopy"/>
      </w:pPr>
      <w:r>
        <w:t xml:space="preserve">i.e. </w:t>
      </w:r>
      <w:r w:rsidR="00955B43">
        <w:t>CBI_2022</w:t>
      </w:r>
      <w:r w:rsidRPr="006A052B">
        <w:t>0930_QuarterlyNationalSpecificReturn</w:t>
      </w:r>
      <w:r>
        <w:t>.xbrl</w:t>
      </w:r>
    </w:p>
    <w:p w:rsidR="00E715FD" w:rsidRDefault="00E715FD" w:rsidP="006A49E2">
      <w:pPr>
        <w:pStyle w:val="BodyCopy"/>
      </w:pPr>
    </w:p>
    <w:p w:rsidR="006A49E2" w:rsidRPr="001C2990" w:rsidRDefault="006A49E2" w:rsidP="006A49E2">
      <w:pPr>
        <w:pStyle w:val="CBHeading2"/>
        <w:rPr>
          <w:lang w:val="en-GB"/>
        </w:rPr>
      </w:pPr>
      <w:bookmarkStart w:id="16" w:name="_Toc462063966"/>
      <w:bookmarkStart w:id="17" w:name="_Toc24034819"/>
      <w:r w:rsidRPr="00A16C77">
        <w:rPr>
          <w:lang w:val="en-GB"/>
        </w:rPr>
        <w:t>Validations</w:t>
      </w:r>
      <w:bookmarkEnd w:id="16"/>
      <w:bookmarkEnd w:id="17"/>
    </w:p>
    <w:p w:rsidR="006A49E2" w:rsidRPr="00C329D7" w:rsidRDefault="006A49E2" w:rsidP="00C329D7">
      <w:pPr>
        <w:pStyle w:val="BodyCopy"/>
        <w:rPr>
          <w:rFonts w:cs="Arial"/>
          <w:color w:val="7C477E"/>
          <w:u w:val="single"/>
        </w:rPr>
      </w:pPr>
      <w:r>
        <w:t xml:space="preserve">The </w:t>
      </w:r>
      <w:hyperlink r:id="rId36" w:history="1">
        <w:r w:rsidR="00C329D7" w:rsidRPr="00C329D7">
          <w:rPr>
            <w:rStyle w:val="Hyperlink"/>
            <w:rFonts w:cs="Arial"/>
          </w:rPr>
          <w:t>CB</w:t>
        </w:r>
        <w:r w:rsidR="00C329D7">
          <w:rPr>
            <w:rStyle w:val="Hyperlink"/>
            <w:rFonts w:cs="Arial"/>
          </w:rPr>
          <w:t>I NST 1.5.0 List of Validations</w:t>
        </w:r>
      </w:hyperlink>
      <w:r>
        <w:t xml:space="preserve"> workbook contains full set of</w:t>
      </w:r>
      <w:r w:rsidRPr="00D653AA">
        <w:t xml:space="preserve"> validations</w:t>
      </w:r>
      <w:r>
        <w:t xml:space="preserve"> implemented for the NST taxonomy</w:t>
      </w:r>
      <w:r w:rsidRPr="00D653AA">
        <w:t>. Please see</w:t>
      </w:r>
      <w:r>
        <w:t xml:space="preserve"> the</w:t>
      </w:r>
      <w:r w:rsidRPr="00D653AA">
        <w:t xml:space="preserve"> </w:t>
      </w:r>
      <w:r>
        <w:t>“Readme”</w:t>
      </w:r>
      <w:r w:rsidRPr="00D653AA">
        <w:t xml:space="preserve"> worksheet for details </w:t>
      </w:r>
      <w:r>
        <w:t>about</w:t>
      </w:r>
      <w:r w:rsidRPr="00D653AA">
        <w:t xml:space="preserve"> </w:t>
      </w:r>
      <w:r>
        <w:t>its</w:t>
      </w:r>
      <w:r w:rsidRPr="00D653AA">
        <w:t xml:space="preserve"> structure</w:t>
      </w:r>
      <w:r>
        <w:t xml:space="preserve"> and content</w:t>
      </w:r>
      <w:r w:rsidRPr="00D653AA">
        <w:t xml:space="preserve">. The </w:t>
      </w:r>
      <w:hyperlink r:id="rId37" w:history="1">
        <w:r w:rsidRPr="002B5193">
          <w:rPr>
            <w:rStyle w:val="Hyperlink"/>
            <w:rFonts w:cs="Arial"/>
          </w:rPr>
          <w:t>sy</w:t>
        </w:r>
        <w:r w:rsidRPr="002B5193">
          <w:rPr>
            <w:rStyle w:val="Hyperlink"/>
            <w:rFonts w:cs="Arial"/>
          </w:rPr>
          <w:t>n</w:t>
        </w:r>
        <w:r w:rsidRPr="002B5193">
          <w:rPr>
            <w:rStyle w:val="Hyperlink"/>
            <w:rFonts w:cs="Arial"/>
          </w:rPr>
          <w:t>t</w:t>
        </w:r>
        <w:r w:rsidRPr="002B5193">
          <w:rPr>
            <w:rStyle w:val="Hyperlink"/>
            <w:rFonts w:cs="Arial"/>
          </w:rPr>
          <w:t>a</w:t>
        </w:r>
        <w:r w:rsidRPr="002B5193">
          <w:rPr>
            <w:rStyle w:val="Hyperlink"/>
            <w:rFonts w:cs="Arial"/>
          </w:rPr>
          <w:t>x</w:t>
        </w:r>
      </w:hyperlink>
      <w:r w:rsidRPr="00D653AA">
        <w:t xml:space="preserve"> used to define validations is </w:t>
      </w:r>
      <w:r>
        <w:t xml:space="preserve">the same as that published by </w:t>
      </w:r>
      <w:r w:rsidRPr="00D653AA">
        <w:t>EIOPA</w:t>
      </w:r>
      <w:r>
        <w:t xml:space="preserve"> for</w:t>
      </w:r>
      <w:r w:rsidRPr="00D653AA">
        <w:t xml:space="preserve"> Solvency II</w:t>
      </w:r>
      <w:r>
        <w:t xml:space="preserve"> reporting</w:t>
      </w:r>
      <w:r w:rsidRPr="00D653AA">
        <w:t xml:space="preserve">. </w:t>
      </w:r>
      <w:r>
        <w:t>Please check the content of this workbook regularly to learn about any deactivated rules or new rules.</w:t>
      </w:r>
    </w:p>
    <w:p w:rsidR="00E715FD" w:rsidRPr="00D653AA" w:rsidRDefault="00E715FD" w:rsidP="006A49E2">
      <w:pPr>
        <w:pStyle w:val="BodyCopy"/>
      </w:pPr>
    </w:p>
    <w:p w:rsidR="006A49E2" w:rsidRPr="006A49E2" w:rsidRDefault="006A49E2" w:rsidP="006A49E2">
      <w:pPr>
        <w:pStyle w:val="CBHeading2"/>
        <w:rPr>
          <w:lang w:val="en-GB"/>
        </w:rPr>
      </w:pPr>
      <w:bookmarkStart w:id="18" w:name="_Toc462063967"/>
      <w:bookmarkStart w:id="19" w:name="_Toc24034820"/>
      <w:r>
        <w:rPr>
          <w:lang w:val="en-GB"/>
        </w:rPr>
        <w:t>Filing Rules</w:t>
      </w:r>
      <w:bookmarkEnd w:id="18"/>
      <w:bookmarkEnd w:id="19"/>
    </w:p>
    <w:p w:rsidR="006A49E2" w:rsidRDefault="006A49E2" w:rsidP="006A49E2">
      <w:pPr>
        <w:pStyle w:val="BodyCopy"/>
      </w:pPr>
      <w:r w:rsidRPr="00281694">
        <w:t xml:space="preserve">The Central Bank of Ireland plans to implement the set of </w:t>
      </w:r>
      <w:hyperlink r:id="rId38" w:history="1">
        <w:r w:rsidRPr="002B5193">
          <w:rPr>
            <w:rStyle w:val="Hyperlink"/>
            <w:rFonts w:cs="Arial"/>
          </w:rPr>
          <w:t>EIOP</w:t>
        </w:r>
        <w:r w:rsidRPr="002B5193">
          <w:rPr>
            <w:rStyle w:val="Hyperlink"/>
            <w:rFonts w:cs="Arial"/>
          </w:rPr>
          <w:t>A</w:t>
        </w:r>
        <w:r w:rsidRPr="002B5193">
          <w:rPr>
            <w:rStyle w:val="Hyperlink"/>
            <w:rFonts w:cs="Arial"/>
          </w:rPr>
          <w:t xml:space="preserve"> F</w:t>
        </w:r>
        <w:r w:rsidRPr="002B5193">
          <w:rPr>
            <w:rStyle w:val="Hyperlink"/>
            <w:rFonts w:cs="Arial"/>
          </w:rPr>
          <w:t>i</w:t>
        </w:r>
        <w:r w:rsidRPr="002B5193">
          <w:rPr>
            <w:rStyle w:val="Hyperlink"/>
            <w:rFonts w:cs="Arial"/>
          </w:rPr>
          <w:t>ling Rules</w:t>
        </w:r>
      </w:hyperlink>
      <w:r w:rsidRPr="00281694">
        <w:t xml:space="preserve"> published for Solvency II reporting against NST XBRL submissions where applicable. Please note that “section V – Codes and Type of Codes” of the EIOPA Filing Rules is not applicable for any of the NST templates. </w:t>
      </w:r>
    </w:p>
    <w:p w:rsidR="006A49E2" w:rsidRDefault="006A49E2" w:rsidP="006A49E2">
      <w:pPr>
        <w:pStyle w:val="BodyCopy"/>
      </w:pPr>
      <w:r>
        <w:t xml:space="preserve">In relation to precision of data types, please follow guidelines provided by EIOPA in published Filing Rules referred to above. </w:t>
      </w:r>
    </w:p>
    <w:p w:rsidR="00E715FD" w:rsidRPr="00281694" w:rsidRDefault="00E715FD" w:rsidP="006A49E2">
      <w:pPr>
        <w:pStyle w:val="BodyCopy"/>
      </w:pPr>
    </w:p>
    <w:p w:rsidR="006A49E2" w:rsidRDefault="006A49E2" w:rsidP="006A49E2">
      <w:pPr>
        <w:pStyle w:val="CBHeading2"/>
        <w:rPr>
          <w:lang w:val="en-GB"/>
        </w:rPr>
      </w:pPr>
      <w:bookmarkStart w:id="20" w:name="_Toc462063968"/>
      <w:bookmarkStart w:id="21" w:name="_Toc24034821"/>
      <w:r>
        <w:rPr>
          <w:lang w:val="en-GB"/>
        </w:rPr>
        <w:t>Annex 1: Changes Compared to version 1.</w:t>
      </w:r>
      <w:bookmarkEnd w:id="20"/>
      <w:r w:rsidR="00932B8D">
        <w:rPr>
          <w:lang w:val="en-GB"/>
        </w:rPr>
        <w:t>4</w:t>
      </w:r>
      <w:r>
        <w:rPr>
          <w:lang w:val="en-GB"/>
        </w:rPr>
        <w:t>.0</w:t>
      </w:r>
      <w:bookmarkEnd w:id="21"/>
    </w:p>
    <w:p w:rsidR="006A49E2" w:rsidRDefault="006A49E2" w:rsidP="006A49E2">
      <w:pPr>
        <w:numPr>
          <w:ilvl w:val="0"/>
          <w:numId w:val="17"/>
        </w:numPr>
        <w:spacing w:after="0" w:line="360" w:lineRule="auto"/>
      </w:pPr>
      <w:r w:rsidRPr="001C2990">
        <w:t xml:space="preserve">Added </w:t>
      </w:r>
      <w:r w:rsidR="00230E4A">
        <w:t>numerous</w:t>
      </w:r>
      <w:r w:rsidRPr="001C2990">
        <w:t xml:space="preserve"> business validations, please consult the </w:t>
      </w:r>
      <w:hyperlink r:id="rId39" w:history="1">
        <w:r w:rsidR="00C329D7" w:rsidRPr="00C329D7">
          <w:rPr>
            <w:rStyle w:val="Hyperlink"/>
            <w:rFonts w:cs="Arial"/>
          </w:rPr>
          <w:t>CB</w:t>
        </w:r>
        <w:r w:rsidR="00C329D7">
          <w:rPr>
            <w:rStyle w:val="Hyperlink"/>
            <w:rFonts w:cs="Arial"/>
          </w:rPr>
          <w:t>I NST 1.5.0 List of Validations</w:t>
        </w:r>
      </w:hyperlink>
      <w:r w:rsidRPr="001C2990">
        <w:t xml:space="preserve"> for the full list</w:t>
      </w:r>
    </w:p>
    <w:p w:rsidR="00230E4A" w:rsidRPr="001C2990" w:rsidRDefault="00307DAE" w:rsidP="00A47DDB">
      <w:pPr>
        <w:numPr>
          <w:ilvl w:val="0"/>
          <w:numId w:val="17"/>
        </w:numPr>
        <w:spacing w:after="0" w:line="360" w:lineRule="auto"/>
      </w:pPr>
      <w:r>
        <w:t>Changes to NST.01.01.01, NST.01.01.03, NST.02.01.01, NST.02.01.03 and NST.07 templates.</w:t>
      </w:r>
      <w:r w:rsidR="00A47DDB">
        <w:t xml:space="preserve"> These changes are highlighted in the Annotated Templates.</w:t>
      </w:r>
    </w:p>
    <w:bookmarkEnd w:id="10"/>
    <w:p w:rsidR="001D56C4" w:rsidRDefault="003C485E" w:rsidP="00291654">
      <w:pPr>
        <w:pStyle w:val="CBChartTitle"/>
      </w:pPr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-958215</wp:posOffset>
            </wp:positionH>
            <wp:positionV relativeFrom="paragraph">
              <wp:posOffset>3202305</wp:posOffset>
            </wp:positionV>
            <wp:extent cx="4914900" cy="3443605"/>
            <wp:effectExtent l="0" t="0" r="0" b="0"/>
            <wp:wrapNone/>
            <wp:docPr id="2" name="Chart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56C4" w:rsidRPr="006E0151" w:rsidRDefault="001D56C4" w:rsidP="00291654">
      <w:pPr>
        <w:pStyle w:val="CBChartTitle"/>
        <w:sectPr w:rsidR="001D56C4" w:rsidRPr="006E0151" w:rsidSect="003B594E">
          <w:type w:val="continuous"/>
          <w:pgSz w:w="11906" w:h="16838" w:code="9"/>
          <w:pgMar w:top="1134" w:right="1416" w:bottom="1134" w:left="1134" w:header="142" w:footer="567" w:gutter="0"/>
          <w:cols w:space="708"/>
          <w:titlePg/>
          <w:docGrid w:linePitch="360"/>
        </w:sectPr>
      </w:pPr>
    </w:p>
    <w:p w:rsidR="006E140C" w:rsidRDefault="006E140C" w:rsidP="00230E4A"/>
    <w:sectPr w:rsidR="006E140C" w:rsidSect="00291654">
      <w:headerReference w:type="first" r:id="rId41"/>
      <w:pgSz w:w="11906" w:h="16838" w:code="9"/>
      <w:pgMar w:top="1134" w:right="1700" w:bottom="1134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35" w:rsidRDefault="00493F35" w:rsidP="004F1F53">
      <w:pPr>
        <w:spacing w:after="0" w:line="240" w:lineRule="auto"/>
      </w:pPr>
      <w:r>
        <w:separator/>
      </w:r>
    </w:p>
  </w:endnote>
  <w:endnote w:type="continuationSeparator" w:id="0">
    <w:p w:rsidR="00493F35" w:rsidRDefault="00493F35" w:rsidP="004F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302020204030203"/>
    <w:charset w:val="00"/>
    <w:family w:val="swiss"/>
    <w:pitch w:val="variable"/>
    <w:sig w:usb0="A00000AF" w:usb1="5000604B" w:usb2="00000000" w:usb3="00000000" w:csb0="00000093" w:csb1="00000000"/>
  </w:font>
  <w:font w:name="HelveticaNeueLTStd-Lt">
    <w:altName w:val="HelveticaNeueLT Std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85E" w:rsidRDefault="003C4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94" w:rsidRDefault="00C67394" w:rsidP="00BB47F5">
    <w:pPr>
      <w:pStyle w:val="TOC3"/>
    </w:pPr>
  </w:p>
  <w:p w:rsidR="002B2C3C" w:rsidRPr="00645F45" w:rsidRDefault="002B2C3C" w:rsidP="00645F45">
    <w:pPr>
      <w:pStyle w:val="Footer"/>
      <w:rPr>
        <w:rStyle w:val="Hyperlink"/>
        <w:color w:val="auto"/>
        <w:u w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D1C" w:rsidRDefault="003C485E">
    <w:r>
      <w:rPr>
        <w:noProof/>
        <w:lang w:eastAsia="en-IE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>
              <wp:simplePos x="0" y="0"/>
              <wp:positionH relativeFrom="page">
                <wp:posOffset>504190</wp:posOffset>
              </wp:positionH>
              <wp:positionV relativeFrom="page">
                <wp:posOffset>9609455</wp:posOffset>
              </wp:positionV>
              <wp:extent cx="2486025" cy="76136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7613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4F9D" w:rsidRPr="008E2198" w:rsidRDefault="00CF4F9D" w:rsidP="004C62EA">
                          <w:pPr>
                            <w:pStyle w:val="ContactInfo"/>
                          </w:pPr>
                          <w:r w:rsidRPr="004C62EA">
                            <w:rPr>
                              <w:b/>
                            </w:rPr>
                            <w:t>T</w:t>
                          </w:r>
                          <w:r w:rsidRPr="004C62EA">
                            <w:t xml:space="preserve">: +353 (0)1 224 6000    </w:t>
                          </w:r>
                          <w:r w:rsidRPr="004C62EA">
                            <w:br/>
                          </w:r>
                          <w:r w:rsidRPr="004C62EA">
                            <w:rPr>
                              <w:b/>
                            </w:rPr>
                            <w:t>E</w:t>
                          </w:r>
                          <w:r w:rsidRPr="004C62EA">
                            <w:t xml:space="preserve">: </w:t>
                          </w:r>
                          <w:hyperlink r:id="rId1" w:history="1">
                            <w:r w:rsidRPr="004C62EA">
                              <w:t>xxx@centralbank.ie</w:t>
                            </w:r>
                          </w:hyperlink>
                          <w:r w:rsidRPr="004C62EA">
                            <w:br/>
                          </w:r>
                          <w:hyperlink r:id="rId2" w:history="1">
                            <w:r w:rsidRPr="004C62EA">
                              <w:t>www.centralbank.ie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.7pt;margin-top:756.65pt;width:195.75pt;height:59.95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" filled="f" stroked="f">
              <v:textbox style="mso-fit-shape-to-text:t">
                <w:txbxContent>
                  <w:p w:rsidR="00CF4F9D" w:rsidRPr="008E2198" w:rsidRDefault="00CF4F9D" w:rsidP="004C62EA">
                    <w:pPr>
                      <w:pStyle w:val="ContactInfo"/>
                    </w:pPr>
                    <w:r w:rsidRPr="004C62EA">
                      <w:rPr>
                        <w:b/>
                      </w:rPr>
                      <w:t>T</w:t>
                    </w:r>
                    <w:r w:rsidRPr="004C62EA">
                      <w:t xml:space="preserve">: +353 (0)1 224 6000    </w:t>
                    </w:r>
                    <w:r w:rsidRPr="004C62EA">
                      <w:br/>
                    </w:r>
                    <w:r w:rsidRPr="004C62EA">
                      <w:rPr>
                        <w:b/>
                      </w:rPr>
                      <w:t>E</w:t>
                    </w:r>
                    <w:r w:rsidRPr="004C62EA">
                      <w:t xml:space="preserve">: </w:t>
                    </w:r>
                    <w:hyperlink r:id="rId3" w:history="1">
                      <w:r w:rsidRPr="004C62EA">
                        <w:t>xxx@centralbank.ie</w:t>
                      </w:r>
                    </w:hyperlink>
                    <w:r w:rsidRPr="004C62EA">
                      <w:br/>
                    </w:r>
                    <w:hyperlink r:id="rId4" w:history="1">
                      <w:r w:rsidRPr="004C62EA">
                        <w:t>www.centralbank.ie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35" w:rsidRDefault="00493F35" w:rsidP="004F1F53">
      <w:pPr>
        <w:spacing w:after="0" w:line="240" w:lineRule="auto"/>
      </w:pPr>
      <w:r>
        <w:separator/>
      </w:r>
    </w:p>
  </w:footnote>
  <w:footnote w:type="continuationSeparator" w:id="0">
    <w:p w:rsidR="00493F35" w:rsidRDefault="00493F35" w:rsidP="004F1F53">
      <w:pPr>
        <w:spacing w:after="0" w:line="240" w:lineRule="auto"/>
      </w:pPr>
      <w:r>
        <w:continuationSeparator/>
      </w:r>
    </w:p>
  </w:footnote>
  <w:footnote w:id="1">
    <w:p w:rsidR="00FD09CB" w:rsidRPr="006F3931" w:rsidRDefault="00FD09CB" w:rsidP="00FD09CB">
      <w:pPr>
        <w:pStyle w:val="FootnoteText"/>
        <w:rPr>
          <w:rFonts w:ascii="Arial" w:hAnsi="Arial" w:cs="Arial"/>
          <w:sz w:val="16"/>
          <w:szCs w:val="16"/>
        </w:rPr>
      </w:pPr>
      <w:r w:rsidRPr="006F3931">
        <w:rPr>
          <w:rStyle w:val="FootnoteReference"/>
          <w:rFonts w:ascii="Arial" w:hAnsi="Arial" w:cs="Arial"/>
          <w:sz w:val="16"/>
          <w:szCs w:val="16"/>
        </w:rPr>
        <w:footnoteRef/>
      </w:r>
      <w:r w:rsidRPr="006F3931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6F3931">
          <w:rPr>
            <w:rStyle w:val="Hyperlink"/>
            <w:rFonts w:ascii="Arial" w:hAnsi="Arial" w:cs="Arial"/>
            <w:sz w:val="16"/>
            <w:szCs w:val="16"/>
          </w:rPr>
          <w:t>https://eiopa.europa.eu/re</w:t>
        </w:r>
        <w:r w:rsidRPr="006F3931">
          <w:rPr>
            <w:rStyle w:val="Hyperlink"/>
            <w:rFonts w:ascii="Arial" w:hAnsi="Arial" w:cs="Arial"/>
            <w:sz w:val="16"/>
            <w:szCs w:val="16"/>
          </w:rPr>
          <w:t>g</w:t>
        </w:r>
        <w:r w:rsidRPr="006F3931">
          <w:rPr>
            <w:rStyle w:val="Hyperlink"/>
            <w:rFonts w:ascii="Arial" w:hAnsi="Arial" w:cs="Arial"/>
            <w:sz w:val="16"/>
            <w:szCs w:val="16"/>
          </w:rPr>
          <w:t>ulation-sup</w:t>
        </w:r>
        <w:r w:rsidRPr="006F3931">
          <w:rPr>
            <w:rStyle w:val="Hyperlink"/>
            <w:rFonts w:ascii="Arial" w:hAnsi="Arial" w:cs="Arial"/>
            <w:sz w:val="16"/>
            <w:szCs w:val="16"/>
          </w:rPr>
          <w:t>e</w:t>
        </w:r>
        <w:r w:rsidRPr="006F3931">
          <w:rPr>
            <w:rStyle w:val="Hyperlink"/>
            <w:rFonts w:ascii="Arial" w:hAnsi="Arial" w:cs="Arial"/>
            <w:sz w:val="16"/>
            <w:szCs w:val="16"/>
          </w:rPr>
          <w:t>rvision/insurance/reporting-for</w:t>
        </w:r>
        <w:r w:rsidRPr="006F3931">
          <w:rPr>
            <w:rStyle w:val="Hyperlink"/>
            <w:rFonts w:ascii="Arial" w:hAnsi="Arial" w:cs="Arial"/>
            <w:sz w:val="16"/>
            <w:szCs w:val="16"/>
          </w:rPr>
          <w:t>m</w:t>
        </w:r>
        <w:r w:rsidRPr="006F3931">
          <w:rPr>
            <w:rStyle w:val="Hyperlink"/>
            <w:rFonts w:ascii="Arial" w:hAnsi="Arial" w:cs="Arial"/>
            <w:sz w:val="16"/>
            <w:szCs w:val="16"/>
          </w:rPr>
          <w:t>at</w:t>
        </w:r>
      </w:hyperlink>
    </w:p>
  </w:footnote>
  <w:footnote w:id="2">
    <w:p w:rsidR="00FD09CB" w:rsidRPr="006F3931" w:rsidRDefault="00FD09CB" w:rsidP="00FD09CB">
      <w:pPr>
        <w:pStyle w:val="FootnoteText"/>
        <w:rPr>
          <w:rFonts w:ascii="Arial" w:hAnsi="Arial" w:cs="Arial"/>
          <w:sz w:val="16"/>
          <w:szCs w:val="16"/>
        </w:rPr>
      </w:pPr>
      <w:r w:rsidRPr="006F3931">
        <w:rPr>
          <w:rStyle w:val="FootnoteReference"/>
          <w:rFonts w:ascii="Arial" w:hAnsi="Arial" w:cs="Arial"/>
          <w:sz w:val="16"/>
          <w:szCs w:val="16"/>
        </w:rPr>
        <w:footnoteRef/>
      </w:r>
      <w:r w:rsidRPr="006F3931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="002C4BAA">
          <w:rPr>
            <w:rStyle w:val="Hyperlink"/>
            <w:rFonts w:ascii="Arial" w:hAnsi="Arial" w:cs="Arial"/>
            <w:sz w:val="16"/>
            <w:szCs w:val="16"/>
          </w:rPr>
          <w:t>https://dev.eiopa.eu</w:t>
        </w:r>
        <w:r w:rsidR="002C4BAA">
          <w:rPr>
            <w:rStyle w:val="Hyperlink"/>
            <w:rFonts w:ascii="Arial" w:hAnsi="Arial" w:cs="Arial"/>
            <w:sz w:val="16"/>
            <w:szCs w:val="16"/>
          </w:rPr>
          <w:t>r</w:t>
        </w:r>
        <w:r w:rsidR="002C4BAA">
          <w:rPr>
            <w:rStyle w:val="Hyperlink"/>
            <w:rFonts w:ascii="Arial" w:hAnsi="Arial" w:cs="Arial"/>
            <w:sz w:val="16"/>
            <w:szCs w:val="16"/>
          </w:rPr>
          <w:t>opa.eu/Taxonomy/Full/2.7.0/Common/EIOPA_DPM_Dictionary_2.7.0.xlsx</w:t>
        </w:r>
      </w:hyperlink>
      <w:r w:rsidRPr="006F3931"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FD09CB" w:rsidRPr="006F3931" w:rsidRDefault="00FD09CB" w:rsidP="00FD09CB">
      <w:pPr>
        <w:pStyle w:val="FootnoteText"/>
        <w:rPr>
          <w:rFonts w:ascii="Arial" w:hAnsi="Arial" w:cs="Arial"/>
          <w:sz w:val="16"/>
          <w:szCs w:val="16"/>
        </w:rPr>
      </w:pPr>
      <w:r w:rsidRPr="006F3931">
        <w:rPr>
          <w:rStyle w:val="FootnoteReference"/>
          <w:rFonts w:ascii="Arial" w:hAnsi="Arial" w:cs="Arial"/>
          <w:sz w:val="16"/>
          <w:szCs w:val="16"/>
        </w:rPr>
        <w:footnoteRef/>
      </w:r>
      <w:r w:rsidRPr="006F3931">
        <w:rPr>
          <w:rFonts w:ascii="Arial" w:hAnsi="Arial" w:cs="Arial"/>
          <w:sz w:val="16"/>
          <w:szCs w:val="16"/>
        </w:rPr>
        <w:t xml:space="preserve"> </w:t>
      </w:r>
      <w:hyperlink r:id="rId3" w:history="1">
        <w:r w:rsidR="002C4BAA">
          <w:rPr>
            <w:rStyle w:val="Hyperlink"/>
            <w:rFonts w:ascii="Arial" w:hAnsi="Arial" w:cs="Arial"/>
            <w:sz w:val="16"/>
            <w:szCs w:val="16"/>
          </w:rPr>
          <w:t>https://dev.eiopa.europa.eu/Tax</w:t>
        </w:r>
        <w:r w:rsidR="002C4BAA">
          <w:rPr>
            <w:rStyle w:val="Hyperlink"/>
            <w:rFonts w:ascii="Arial" w:hAnsi="Arial" w:cs="Arial"/>
            <w:sz w:val="16"/>
            <w:szCs w:val="16"/>
          </w:rPr>
          <w:t>o</w:t>
        </w:r>
        <w:r w:rsidR="002C4BAA">
          <w:rPr>
            <w:rStyle w:val="Hyperlink"/>
            <w:rFonts w:ascii="Arial" w:hAnsi="Arial" w:cs="Arial"/>
            <w:sz w:val="16"/>
            <w:szCs w:val="16"/>
          </w:rPr>
          <w:t>nomy/Full/2.7.0/S2/EIOPA_SolvencyII_DPM_Annotated_Templates_2.7.0.xlsx</w:t>
        </w:r>
      </w:hyperlink>
    </w:p>
  </w:footnote>
  <w:footnote w:id="4">
    <w:p w:rsidR="00FD09CB" w:rsidRDefault="00FD09CB" w:rsidP="00FD09CB">
      <w:pPr>
        <w:pStyle w:val="FootnoteText"/>
      </w:pPr>
      <w:r w:rsidRPr="006F3931">
        <w:rPr>
          <w:rStyle w:val="FootnoteReference"/>
          <w:rFonts w:ascii="Arial" w:hAnsi="Arial" w:cs="Arial"/>
          <w:sz w:val="16"/>
          <w:szCs w:val="16"/>
        </w:rPr>
        <w:footnoteRef/>
      </w:r>
      <w:r w:rsidRPr="006F3931">
        <w:rPr>
          <w:rFonts w:ascii="Arial" w:hAnsi="Arial" w:cs="Arial"/>
          <w:sz w:val="16"/>
          <w:szCs w:val="16"/>
        </w:rPr>
        <w:t xml:space="preserve"> </w:t>
      </w:r>
      <w:hyperlink r:id="rId4" w:history="1">
        <w:r w:rsidR="002C4BAA" w:rsidRPr="002C4BAA">
          <w:rPr>
            <w:rStyle w:val="Hyperlink"/>
            <w:rFonts w:ascii="Arial" w:hAnsi="Arial" w:cs="Arial"/>
            <w:sz w:val="16"/>
            <w:szCs w:val="16"/>
          </w:rPr>
          <w:t>https://dev.eiopa</w:t>
        </w:r>
        <w:r w:rsidR="002C4BAA" w:rsidRPr="002C4BAA">
          <w:rPr>
            <w:rStyle w:val="Hyperlink"/>
            <w:rFonts w:ascii="Arial" w:hAnsi="Arial" w:cs="Arial"/>
            <w:sz w:val="16"/>
            <w:szCs w:val="16"/>
          </w:rPr>
          <w:t>.</w:t>
        </w:r>
        <w:r w:rsidR="002C4BAA" w:rsidRPr="002C4BAA">
          <w:rPr>
            <w:rStyle w:val="Hyperlink"/>
            <w:rFonts w:ascii="Arial" w:hAnsi="Arial" w:cs="Arial"/>
            <w:sz w:val="16"/>
            <w:szCs w:val="16"/>
          </w:rPr>
          <w:t>europa.eu/Taxonomy/Full/2.7.0/S2/EIOPA_SolvencyII_XBRL_Taxonomy_2.7.0_hotfix.zip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85E" w:rsidRDefault="003C485E" w:rsidP="003C485E">
    <w:fldSimple w:instr=" DOCPROPERTY bjHeaderEvenPageDocProperty \* MERGEFORMAT " w:fldLock="1">
      <w:r w:rsidRPr="003C485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fldSimple>
  </w:p>
  <w:tbl>
    <w:tblPr>
      <w:tblW w:w="9571" w:type="dxa"/>
      <w:tblInd w:w="455" w:type="dxa"/>
      <w:tblLayout w:type="fixed"/>
      <w:tblLook w:val="04A0" w:firstRow="1" w:lastRow="0" w:firstColumn="1" w:lastColumn="0" w:noHBand="0" w:noVBand="1"/>
    </w:tblPr>
    <w:tblGrid>
      <w:gridCol w:w="283"/>
      <w:gridCol w:w="6801"/>
      <w:gridCol w:w="1679"/>
      <w:gridCol w:w="808"/>
    </w:tblGrid>
    <w:tr w:rsidR="00D8529B" w:rsidRPr="001C2990" w:rsidTr="001C2990">
      <w:tc>
        <w:tcPr>
          <w:tcW w:w="283" w:type="dxa"/>
          <w:shd w:val="clear" w:color="auto" w:fill="auto"/>
        </w:tcPr>
        <w:p w:rsidR="00D8529B" w:rsidRPr="001C2990" w:rsidRDefault="00D8529B" w:rsidP="001C2990">
          <w:pPr>
            <w:spacing w:after="0"/>
            <w:rPr>
              <w:sz w:val="14"/>
              <w:szCs w:val="14"/>
            </w:rPr>
          </w:pPr>
        </w:p>
      </w:tc>
      <w:tc>
        <w:tcPr>
          <w:tcW w:w="6801" w:type="dxa"/>
          <w:tcBorders>
            <w:right w:val="single" w:sz="4" w:space="0" w:color="0083A0"/>
          </w:tcBorders>
          <w:shd w:val="clear" w:color="auto" w:fill="auto"/>
        </w:tcPr>
        <w:p w:rsidR="00D8529B" w:rsidRPr="001C2990" w:rsidRDefault="002B5193" w:rsidP="006A49E2">
          <w:pPr>
            <w:pStyle w:val="DocumentTitleinHeader"/>
          </w:pPr>
          <w:r>
            <w:t>Release Notes version 1.5</w:t>
          </w:r>
          <w:r w:rsidR="006A49E2" w:rsidRPr="001C2990">
            <w:t>.0 of the CBI Solvency II NST DPM and XBRL taxonomy</w:t>
          </w:r>
        </w:p>
      </w:tc>
      <w:tc>
        <w:tcPr>
          <w:tcW w:w="1679" w:type="dxa"/>
          <w:tcBorders>
            <w:left w:val="single" w:sz="4" w:space="0" w:color="0083A0"/>
            <w:right w:val="single" w:sz="4" w:space="0" w:color="0083A0"/>
          </w:tcBorders>
          <w:shd w:val="clear" w:color="auto" w:fill="auto"/>
        </w:tcPr>
        <w:p w:rsidR="00D8529B" w:rsidRPr="001C2990" w:rsidRDefault="00D8529B" w:rsidP="00E86027">
          <w:pPr>
            <w:pStyle w:val="DocumentTitleinHeader"/>
          </w:pPr>
          <w:r w:rsidRPr="001C2990">
            <w:t>Central Bank of Ireland</w:t>
          </w:r>
        </w:p>
      </w:tc>
      <w:tc>
        <w:tcPr>
          <w:tcW w:w="808" w:type="dxa"/>
          <w:tcBorders>
            <w:left w:val="single" w:sz="4" w:space="0" w:color="0083A0"/>
          </w:tcBorders>
          <w:shd w:val="clear" w:color="auto" w:fill="auto"/>
        </w:tcPr>
        <w:p w:rsidR="00D8529B" w:rsidRPr="001C2990" w:rsidRDefault="00D8529B" w:rsidP="00E86027">
          <w:pPr>
            <w:pStyle w:val="DocumentTitleinHeader"/>
          </w:pPr>
          <w:r w:rsidRPr="001C2990">
            <w:t xml:space="preserve">Page </w:t>
          </w:r>
          <w:r w:rsidRPr="001C2990">
            <w:fldChar w:fldCharType="begin"/>
          </w:r>
          <w:r w:rsidRPr="001C2990">
            <w:instrText xml:space="preserve"> PAGE   \* MERGEFORMAT </w:instrText>
          </w:r>
          <w:r w:rsidRPr="001C2990">
            <w:fldChar w:fldCharType="separate"/>
          </w:r>
          <w:r w:rsidR="003C485E">
            <w:rPr>
              <w:noProof/>
            </w:rPr>
            <w:t>2</w:t>
          </w:r>
          <w:r w:rsidRPr="001C2990">
            <w:fldChar w:fldCharType="end"/>
          </w:r>
        </w:p>
      </w:tc>
    </w:tr>
  </w:tbl>
  <w:p w:rsidR="008D0BD1" w:rsidRPr="008D0BD1" w:rsidRDefault="008D0BD1" w:rsidP="003C485E">
    <w:pPr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85E" w:rsidRDefault="003C485E" w:rsidP="003C485E">
    <w:fldSimple w:instr=" DOCPROPERTY bjHeaderBothDocProperty \* MERGEFORMAT " w:fldLock="1">
      <w:r w:rsidRPr="003C485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fldSimple>
  </w:p>
  <w:tbl>
    <w:tblPr>
      <w:tblW w:w="9571" w:type="dxa"/>
      <w:tblInd w:w="455" w:type="dxa"/>
      <w:tblLayout w:type="fixed"/>
      <w:tblLook w:val="04A0" w:firstRow="1" w:lastRow="0" w:firstColumn="1" w:lastColumn="0" w:noHBand="0" w:noVBand="1"/>
    </w:tblPr>
    <w:tblGrid>
      <w:gridCol w:w="283"/>
      <w:gridCol w:w="6801"/>
      <w:gridCol w:w="1679"/>
      <w:gridCol w:w="808"/>
    </w:tblGrid>
    <w:tr w:rsidR="00D8529B" w:rsidRPr="001C2990" w:rsidTr="001C2990">
      <w:tc>
        <w:tcPr>
          <w:tcW w:w="283" w:type="dxa"/>
          <w:shd w:val="clear" w:color="auto" w:fill="auto"/>
        </w:tcPr>
        <w:p w:rsidR="00D8529B" w:rsidRPr="001C2990" w:rsidRDefault="00D8529B" w:rsidP="001C2990">
          <w:pPr>
            <w:spacing w:after="0"/>
            <w:rPr>
              <w:sz w:val="14"/>
              <w:szCs w:val="14"/>
            </w:rPr>
          </w:pPr>
        </w:p>
      </w:tc>
      <w:tc>
        <w:tcPr>
          <w:tcW w:w="6801" w:type="dxa"/>
          <w:tcBorders>
            <w:right w:val="single" w:sz="4" w:space="0" w:color="0083A0"/>
          </w:tcBorders>
          <w:shd w:val="clear" w:color="auto" w:fill="auto"/>
        </w:tcPr>
        <w:p w:rsidR="00D8529B" w:rsidRPr="001C2990" w:rsidRDefault="003B594E" w:rsidP="00E86027">
          <w:pPr>
            <w:pStyle w:val="DocumentTitleinHeader"/>
          </w:pPr>
          <w:r w:rsidRPr="003B594E">
            <w:t>Release Notes version 1.5.0 of the CBI Solvency II NST DPM and XBRL taxonomy</w:t>
          </w:r>
        </w:p>
      </w:tc>
      <w:tc>
        <w:tcPr>
          <w:tcW w:w="1679" w:type="dxa"/>
          <w:tcBorders>
            <w:left w:val="single" w:sz="4" w:space="0" w:color="0083A0"/>
            <w:right w:val="single" w:sz="4" w:space="0" w:color="0083A0"/>
          </w:tcBorders>
          <w:shd w:val="clear" w:color="auto" w:fill="auto"/>
        </w:tcPr>
        <w:p w:rsidR="00D8529B" w:rsidRPr="001C2990" w:rsidRDefault="00D8529B" w:rsidP="00E86027">
          <w:pPr>
            <w:pStyle w:val="DocumentTitleinHeader"/>
          </w:pPr>
          <w:r w:rsidRPr="001C2990">
            <w:t>Central Bank of Ireland</w:t>
          </w:r>
        </w:p>
      </w:tc>
      <w:tc>
        <w:tcPr>
          <w:tcW w:w="808" w:type="dxa"/>
          <w:tcBorders>
            <w:left w:val="single" w:sz="4" w:space="0" w:color="0083A0"/>
          </w:tcBorders>
          <w:shd w:val="clear" w:color="auto" w:fill="auto"/>
        </w:tcPr>
        <w:p w:rsidR="00D8529B" w:rsidRPr="001C2990" w:rsidRDefault="00D8529B" w:rsidP="00E86027">
          <w:pPr>
            <w:pStyle w:val="DocumentTitleinHeader"/>
          </w:pPr>
          <w:r w:rsidRPr="001C2990">
            <w:t xml:space="preserve">Page </w:t>
          </w:r>
          <w:r w:rsidRPr="001C2990">
            <w:fldChar w:fldCharType="begin"/>
          </w:r>
          <w:r w:rsidRPr="001C2990">
            <w:instrText xml:space="preserve"> PAGE   \* MERGEFORMAT </w:instrText>
          </w:r>
          <w:r w:rsidRPr="001C2990">
            <w:fldChar w:fldCharType="separate"/>
          </w:r>
          <w:r w:rsidR="003C485E">
            <w:rPr>
              <w:noProof/>
            </w:rPr>
            <w:t>7</w:t>
          </w:r>
          <w:r w:rsidRPr="001C2990">
            <w:rPr>
              <w:noProof/>
            </w:rPr>
            <w:fldChar w:fldCharType="end"/>
          </w:r>
        </w:p>
      </w:tc>
    </w:tr>
  </w:tbl>
  <w:p w:rsidR="008D0BD1" w:rsidRPr="00FA2B6C" w:rsidRDefault="008D0BD1" w:rsidP="003C485E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4F" w:rsidRPr="00D2197E" w:rsidRDefault="003C485E" w:rsidP="003C485E">
    <w:pPr>
      <w:pStyle w:val="CBHeading1"/>
      <w:rPr>
        <w:rStyle w:val="FigureTitle"/>
      </w:rPr>
    </w:pPr>
    <w:r w:rsidRPr="003C485E">
      <w:rPr>
        <w:rStyle w:val="FigureTitle"/>
      </w:rPr>
      <w:fldChar w:fldCharType="begin" w:fldLock="1"/>
    </w:r>
    <w:r w:rsidRPr="003C485E">
      <w:rPr>
        <w:rStyle w:val="FigureTitle"/>
      </w:rPr>
      <w:instrText xml:space="preserve"> DOCPROPERTY bjHeaderFirstPageDocProperty \* MERGEFORMAT </w:instrText>
    </w:r>
    <w:r w:rsidRPr="003C485E">
      <w:rPr>
        <w:rStyle w:val="FigureTitle"/>
      </w:rPr>
      <w:fldChar w:fldCharType="separate"/>
    </w:r>
    <w:r w:rsidRPr="003C485E">
      <w:rPr>
        <w:rStyle w:val="FigureTitle"/>
        <w:rFonts w:ascii="Times New Roman" w:hAnsi="Times New Roman"/>
        <w:b w:val="0"/>
        <w:color w:val="000000"/>
        <w:sz w:val="24"/>
        <w:szCs w:val="24"/>
      </w:rPr>
      <w:t xml:space="preserve"> </w:t>
    </w:r>
    <w:r w:rsidRPr="003C485E">
      <w:rPr>
        <w:rStyle w:val="FigureTitle"/>
      </w:rPr>
      <w:fldChar w:fldCharType="end"/>
    </w:r>
    <w:r>
      <w:rPr>
        <w:noProof/>
        <w:lang w:eastAsia="en-I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-180340</wp:posOffset>
          </wp:positionV>
          <wp:extent cx="7562850" cy="1069784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D1C" w:rsidRDefault="003C485E" w:rsidP="003C485E">
    <w:fldSimple w:instr=" DOCPROPERTY bjHeaderFirstPageDocProperty \* MERGEFORMAT " w:fldLock="1">
      <w:r w:rsidRPr="003C485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fldSimple>
    <w:r>
      <w:rPr>
        <w:noProof/>
        <w:lang w:eastAsia="en-IE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6575"/>
          <wp:effectExtent l="0" t="0" r="0" b="0"/>
          <wp:wrapNone/>
          <wp:docPr id="1" name="Pictur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303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A6A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DE7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B87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50F8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14C1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C0F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944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005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BC1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A63A9"/>
    <w:multiLevelType w:val="hybridMultilevel"/>
    <w:tmpl w:val="25686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104BBE"/>
    <w:multiLevelType w:val="hybridMultilevel"/>
    <w:tmpl w:val="1D34AA5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0F465A"/>
    <w:multiLevelType w:val="multilevel"/>
    <w:tmpl w:val="C824A2E6"/>
    <w:lvl w:ilvl="0">
      <w:start w:val="1"/>
      <w:numFmt w:val="bullet"/>
      <w:pStyle w:val="StyledBullets"/>
      <w:lvlText w:val=""/>
      <w:lvlJc w:val="left"/>
      <w:pPr>
        <w:ind w:left="284" w:hanging="284"/>
      </w:pPr>
      <w:rPr>
        <w:rFonts w:ascii="Wingdings" w:hAnsi="Wingdings" w:hint="default"/>
        <w:color w:val="5EC5C2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  <w:color w:val="5EC5C2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5EC5C2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5EC5C2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420" w:firstLine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704" w:firstLine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88" w:firstLine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272" w:firstLine="284"/>
      </w:pPr>
      <w:rPr>
        <w:rFonts w:ascii="Wingdings" w:hAnsi="Wingdings" w:hint="default"/>
      </w:rPr>
    </w:lvl>
  </w:abstractNum>
  <w:abstractNum w:abstractNumId="13" w15:restartNumberingAfterBreak="0">
    <w:nsid w:val="24C95B59"/>
    <w:multiLevelType w:val="multilevel"/>
    <w:tmpl w:val="73283F40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5EC5C2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5EC5C2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5EC5C2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5EC5C2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420" w:firstLine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704" w:firstLine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88" w:firstLine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272" w:firstLine="284"/>
      </w:pPr>
      <w:rPr>
        <w:rFonts w:ascii="Wingdings" w:hAnsi="Wingdings" w:hint="default"/>
      </w:rPr>
    </w:lvl>
  </w:abstractNum>
  <w:abstractNum w:abstractNumId="14" w15:restartNumberingAfterBreak="0">
    <w:nsid w:val="398E34EB"/>
    <w:multiLevelType w:val="hybridMultilevel"/>
    <w:tmpl w:val="9F54E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A5B85"/>
    <w:multiLevelType w:val="hybridMultilevel"/>
    <w:tmpl w:val="904071F6"/>
    <w:lvl w:ilvl="0" w:tplc="4BDE0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36A6AC">
      <w:start w:val="6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8D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6E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A5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ED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27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763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AA1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774F00"/>
    <w:multiLevelType w:val="hybridMultilevel"/>
    <w:tmpl w:val="04F6C4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6"/>
  </w:num>
  <w:num w:numId="15">
    <w:abstractNumId w:val="10"/>
  </w:num>
  <w:num w:numId="16">
    <w:abstractNumId w:val="15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70"/>
  <w:drawingGridVerticalSpacing w:val="17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B6"/>
    <w:rsid w:val="00003384"/>
    <w:rsid w:val="00012665"/>
    <w:rsid w:val="0001799A"/>
    <w:rsid w:val="000215CF"/>
    <w:rsid w:val="00022233"/>
    <w:rsid w:val="0002520E"/>
    <w:rsid w:val="0004237C"/>
    <w:rsid w:val="00042923"/>
    <w:rsid w:val="00050012"/>
    <w:rsid w:val="00055B41"/>
    <w:rsid w:val="0005774E"/>
    <w:rsid w:val="00060896"/>
    <w:rsid w:val="00065806"/>
    <w:rsid w:val="00090FCC"/>
    <w:rsid w:val="000A4945"/>
    <w:rsid w:val="000A5BB5"/>
    <w:rsid w:val="000C5C4A"/>
    <w:rsid w:val="000C7465"/>
    <w:rsid w:val="000E0FA4"/>
    <w:rsid w:val="000E4CFC"/>
    <w:rsid w:val="000F477D"/>
    <w:rsid w:val="00113204"/>
    <w:rsid w:val="001148EF"/>
    <w:rsid w:val="00123308"/>
    <w:rsid w:val="0013439B"/>
    <w:rsid w:val="001352A5"/>
    <w:rsid w:val="00156AA3"/>
    <w:rsid w:val="001571CE"/>
    <w:rsid w:val="001607F1"/>
    <w:rsid w:val="00183691"/>
    <w:rsid w:val="00190F55"/>
    <w:rsid w:val="001A39E6"/>
    <w:rsid w:val="001B12C7"/>
    <w:rsid w:val="001B6554"/>
    <w:rsid w:val="001C2990"/>
    <w:rsid w:val="001C6BD3"/>
    <w:rsid w:val="001C7E21"/>
    <w:rsid w:val="001D56C4"/>
    <w:rsid w:val="00200327"/>
    <w:rsid w:val="00202A25"/>
    <w:rsid w:val="00230E4A"/>
    <w:rsid w:val="00233D8C"/>
    <w:rsid w:val="00241DB5"/>
    <w:rsid w:val="002543E9"/>
    <w:rsid w:val="002818E7"/>
    <w:rsid w:val="0028266E"/>
    <w:rsid w:val="00291654"/>
    <w:rsid w:val="002943A7"/>
    <w:rsid w:val="002B2C3C"/>
    <w:rsid w:val="002B4491"/>
    <w:rsid w:val="002B5193"/>
    <w:rsid w:val="002C4BAA"/>
    <w:rsid w:val="002C567B"/>
    <w:rsid w:val="002D72B3"/>
    <w:rsid w:val="002E3B1E"/>
    <w:rsid w:val="002E4D1C"/>
    <w:rsid w:val="002E54F0"/>
    <w:rsid w:val="002F0F89"/>
    <w:rsid w:val="002F51A0"/>
    <w:rsid w:val="002F7F0C"/>
    <w:rsid w:val="00306610"/>
    <w:rsid w:val="00307DAE"/>
    <w:rsid w:val="00311311"/>
    <w:rsid w:val="00345192"/>
    <w:rsid w:val="00354102"/>
    <w:rsid w:val="00354222"/>
    <w:rsid w:val="003758DB"/>
    <w:rsid w:val="003B594E"/>
    <w:rsid w:val="003C485E"/>
    <w:rsid w:val="003C745B"/>
    <w:rsid w:val="003D250E"/>
    <w:rsid w:val="003E7F28"/>
    <w:rsid w:val="003F176A"/>
    <w:rsid w:val="003F2B2E"/>
    <w:rsid w:val="003F2EEE"/>
    <w:rsid w:val="003F53B9"/>
    <w:rsid w:val="003F6E6A"/>
    <w:rsid w:val="004000BF"/>
    <w:rsid w:val="00402C51"/>
    <w:rsid w:val="00417102"/>
    <w:rsid w:val="00427F12"/>
    <w:rsid w:val="00433EFC"/>
    <w:rsid w:val="00445E2C"/>
    <w:rsid w:val="004544A5"/>
    <w:rsid w:val="00454FCB"/>
    <w:rsid w:val="004606F4"/>
    <w:rsid w:val="004710DD"/>
    <w:rsid w:val="004771B6"/>
    <w:rsid w:val="0048384C"/>
    <w:rsid w:val="004847C3"/>
    <w:rsid w:val="00485629"/>
    <w:rsid w:val="00493F35"/>
    <w:rsid w:val="00496008"/>
    <w:rsid w:val="004B0023"/>
    <w:rsid w:val="004B60E0"/>
    <w:rsid w:val="004C1448"/>
    <w:rsid w:val="004C62EA"/>
    <w:rsid w:val="004D0EC8"/>
    <w:rsid w:val="004E3EE6"/>
    <w:rsid w:val="004E682D"/>
    <w:rsid w:val="004F1F53"/>
    <w:rsid w:val="00513D7C"/>
    <w:rsid w:val="005142ED"/>
    <w:rsid w:val="00517CE8"/>
    <w:rsid w:val="00520C42"/>
    <w:rsid w:val="005379B9"/>
    <w:rsid w:val="00543A62"/>
    <w:rsid w:val="0056299F"/>
    <w:rsid w:val="00562BC4"/>
    <w:rsid w:val="00570B95"/>
    <w:rsid w:val="005905B7"/>
    <w:rsid w:val="005A09AF"/>
    <w:rsid w:val="005B014A"/>
    <w:rsid w:val="005B5E6D"/>
    <w:rsid w:val="005C60EE"/>
    <w:rsid w:val="005D0AB3"/>
    <w:rsid w:val="005D2900"/>
    <w:rsid w:val="005D2BB2"/>
    <w:rsid w:val="005E1168"/>
    <w:rsid w:val="005E24BA"/>
    <w:rsid w:val="00600BAA"/>
    <w:rsid w:val="006161CC"/>
    <w:rsid w:val="00623D27"/>
    <w:rsid w:val="0062454F"/>
    <w:rsid w:val="006265C1"/>
    <w:rsid w:val="006336A2"/>
    <w:rsid w:val="00634515"/>
    <w:rsid w:val="0064283F"/>
    <w:rsid w:val="00645F45"/>
    <w:rsid w:val="006473CE"/>
    <w:rsid w:val="00647F32"/>
    <w:rsid w:val="00650E73"/>
    <w:rsid w:val="0065278B"/>
    <w:rsid w:val="00657F59"/>
    <w:rsid w:val="00675330"/>
    <w:rsid w:val="00684E5F"/>
    <w:rsid w:val="006922C7"/>
    <w:rsid w:val="006954A0"/>
    <w:rsid w:val="00695FA5"/>
    <w:rsid w:val="00696A7D"/>
    <w:rsid w:val="00697BE8"/>
    <w:rsid w:val="006A49E2"/>
    <w:rsid w:val="006B6DB5"/>
    <w:rsid w:val="006E0151"/>
    <w:rsid w:val="006E140C"/>
    <w:rsid w:val="006E391D"/>
    <w:rsid w:val="006F16A7"/>
    <w:rsid w:val="00701C89"/>
    <w:rsid w:val="0070401B"/>
    <w:rsid w:val="007065A8"/>
    <w:rsid w:val="00724F17"/>
    <w:rsid w:val="00730EA3"/>
    <w:rsid w:val="007344EC"/>
    <w:rsid w:val="0073569B"/>
    <w:rsid w:val="0074352D"/>
    <w:rsid w:val="00746BA6"/>
    <w:rsid w:val="007527D2"/>
    <w:rsid w:val="00757B9A"/>
    <w:rsid w:val="00761763"/>
    <w:rsid w:val="007732C2"/>
    <w:rsid w:val="00774870"/>
    <w:rsid w:val="00786D8E"/>
    <w:rsid w:val="00792138"/>
    <w:rsid w:val="007931B3"/>
    <w:rsid w:val="00795B2F"/>
    <w:rsid w:val="007A744D"/>
    <w:rsid w:val="007B6465"/>
    <w:rsid w:val="007C2783"/>
    <w:rsid w:val="007D22FB"/>
    <w:rsid w:val="007D2A2E"/>
    <w:rsid w:val="007E05A6"/>
    <w:rsid w:val="007E2835"/>
    <w:rsid w:val="007F24CE"/>
    <w:rsid w:val="007F6737"/>
    <w:rsid w:val="007F7EEF"/>
    <w:rsid w:val="008023B3"/>
    <w:rsid w:val="008140E4"/>
    <w:rsid w:val="0081716D"/>
    <w:rsid w:val="00851047"/>
    <w:rsid w:val="008547C1"/>
    <w:rsid w:val="00897851"/>
    <w:rsid w:val="008A1EF7"/>
    <w:rsid w:val="008B7D82"/>
    <w:rsid w:val="008C25D0"/>
    <w:rsid w:val="008C4478"/>
    <w:rsid w:val="008C495B"/>
    <w:rsid w:val="008C5AED"/>
    <w:rsid w:val="008C7C20"/>
    <w:rsid w:val="008D0BD1"/>
    <w:rsid w:val="008E1180"/>
    <w:rsid w:val="008E436C"/>
    <w:rsid w:val="0090247A"/>
    <w:rsid w:val="009047A2"/>
    <w:rsid w:val="009135F2"/>
    <w:rsid w:val="0091641D"/>
    <w:rsid w:val="00932B8D"/>
    <w:rsid w:val="00940BAD"/>
    <w:rsid w:val="00952128"/>
    <w:rsid w:val="00955B43"/>
    <w:rsid w:val="009644BD"/>
    <w:rsid w:val="0096450A"/>
    <w:rsid w:val="00984CF6"/>
    <w:rsid w:val="009A2059"/>
    <w:rsid w:val="009A3F7A"/>
    <w:rsid w:val="009C0EF4"/>
    <w:rsid w:val="009C27D0"/>
    <w:rsid w:val="009D0511"/>
    <w:rsid w:val="009D2D2D"/>
    <w:rsid w:val="009D4E6E"/>
    <w:rsid w:val="009D69B7"/>
    <w:rsid w:val="009E30B6"/>
    <w:rsid w:val="009E35B9"/>
    <w:rsid w:val="009E5F41"/>
    <w:rsid w:val="009E6E39"/>
    <w:rsid w:val="009F3886"/>
    <w:rsid w:val="009F7A6F"/>
    <w:rsid w:val="00A000F1"/>
    <w:rsid w:val="00A02655"/>
    <w:rsid w:val="00A11720"/>
    <w:rsid w:val="00A21C44"/>
    <w:rsid w:val="00A30105"/>
    <w:rsid w:val="00A47DDB"/>
    <w:rsid w:val="00A56B28"/>
    <w:rsid w:val="00A85820"/>
    <w:rsid w:val="00A931A2"/>
    <w:rsid w:val="00AB2258"/>
    <w:rsid w:val="00AC331F"/>
    <w:rsid w:val="00AD3EDA"/>
    <w:rsid w:val="00AF58F9"/>
    <w:rsid w:val="00AF6E9C"/>
    <w:rsid w:val="00B13130"/>
    <w:rsid w:val="00B16AD7"/>
    <w:rsid w:val="00B1736C"/>
    <w:rsid w:val="00B31047"/>
    <w:rsid w:val="00B331BF"/>
    <w:rsid w:val="00B456B3"/>
    <w:rsid w:val="00B47164"/>
    <w:rsid w:val="00B5253A"/>
    <w:rsid w:val="00B62866"/>
    <w:rsid w:val="00B66169"/>
    <w:rsid w:val="00B80DEA"/>
    <w:rsid w:val="00B81DDF"/>
    <w:rsid w:val="00B84DDC"/>
    <w:rsid w:val="00B85535"/>
    <w:rsid w:val="00BA582B"/>
    <w:rsid w:val="00BB47F5"/>
    <w:rsid w:val="00BC15D8"/>
    <w:rsid w:val="00BC2ADA"/>
    <w:rsid w:val="00BD37FA"/>
    <w:rsid w:val="00BD492C"/>
    <w:rsid w:val="00BE16A9"/>
    <w:rsid w:val="00C0329C"/>
    <w:rsid w:val="00C126CE"/>
    <w:rsid w:val="00C15E03"/>
    <w:rsid w:val="00C20616"/>
    <w:rsid w:val="00C329D7"/>
    <w:rsid w:val="00C342F2"/>
    <w:rsid w:val="00C35FBD"/>
    <w:rsid w:val="00C40FCD"/>
    <w:rsid w:val="00C4131E"/>
    <w:rsid w:val="00C41FAF"/>
    <w:rsid w:val="00C469B9"/>
    <w:rsid w:val="00C46DF6"/>
    <w:rsid w:val="00C54889"/>
    <w:rsid w:val="00C61D7E"/>
    <w:rsid w:val="00C67394"/>
    <w:rsid w:val="00C957C9"/>
    <w:rsid w:val="00CC7C97"/>
    <w:rsid w:val="00CD5D85"/>
    <w:rsid w:val="00CF4F9D"/>
    <w:rsid w:val="00D0040E"/>
    <w:rsid w:val="00D040BD"/>
    <w:rsid w:val="00D1487B"/>
    <w:rsid w:val="00D2197E"/>
    <w:rsid w:val="00D245B7"/>
    <w:rsid w:val="00D37175"/>
    <w:rsid w:val="00D415E2"/>
    <w:rsid w:val="00D563EC"/>
    <w:rsid w:val="00D56982"/>
    <w:rsid w:val="00D61F55"/>
    <w:rsid w:val="00D63B40"/>
    <w:rsid w:val="00D73B94"/>
    <w:rsid w:val="00D8529B"/>
    <w:rsid w:val="00D937A5"/>
    <w:rsid w:val="00D94820"/>
    <w:rsid w:val="00DA3702"/>
    <w:rsid w:val="00DA72A1"/>
    <w:rsid w:val="00DA746C"/>
    <w:rsid w:val="00DB2A32"/>
    <w:rsid w:val="00DE5BD2"/>
    <w:rsid w:val="00E02933"/>
    <w:rsid w:val="00E20B62"/>
    <w:rsid w:val="00E32D6D"/>
    <w:rsid w:val="00E411DC"/>
    <w:rsid w:val="00E47BD1"/>
    <w:rsid w:val="00E5376C"/>
    <w:rsid w:val="00E660DD"/>
    <w:rsid w:val="00E715FD"/>
    <w:rsid w:val="00E73280"/>
    <w:rsid w:val="00E745EC"/>
    <w:rsid w:val="00E82C88"/>
    <w:rsid w:val="00E86027"/>
    <w:rsid w:val="00EB457D"/>
    <w:rsid w:val="00EC139E"/>
    <w:rsid w:val="00EC6AE0"/>
    <w:rsid w:val="00EC7CF2"/>
    <w:rsid w:val="00ED03F1"/>
    <w:rsid w:val="00ED1D45"/>
    <w:rsid w:val="00ED37D2"/>
    <w:rsid w:val="00ED6E34"/>
    <w:rsid w:val="00EE5044"/>
    <w:rsid w:val="00EE50DD"/>
    <w:rsid w:val="00EF4BBA"/>
    <w:rsid w:val="00F01050"/>
    <w:rsid w:val="00F014F6"/>
    <w:rsid w:val="00F3729A"/>
    <w:rsid w:val="00F379DD"/>
    <w:rsid w:val="00F42A15"/>
    <w:rsid w:val="00F42E46"/>
    <w:rsid w:val="00F829DC"/>
    <w:rsid w:val="00F863F6"/>
    <w:rsid w:val="00FA175B"/>
    <w:rsid w:val="00FA2B6C"/>
    <w:rsid w:val="00FA6A9D"/>
    <w:rsid w:val="00FB7763"/>
    <w:rsid w:val="00FC4D33"/>
    <w:rsid w:val="00FC6680"/>
    <w:rsid w:val="00FD09CB"/>
    <w:rsid w:val="00FD35A6"/>
    <w:rsid w:val="00FF62A4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30"/>
  <w15:chartTrackingRefBased/>
  <w15:docId w15:val="{7D947576-6AA9-49A3-82BB-EA534793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Lato" w:hAnsi="Lato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835"/>
    <w:pPr>
      <w:spacing w:after="160" w:line="300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675330"/>
    <w:pPr>
      <w:keepNext/>
      <w:keepLines/>
      <w:spacing w:before="240" w:after="0"/>
      <w:outlineLvl w:val="0"/>
    </w:pPr>
    <w:rPr>
      <w:rFonts w:eastAsia="Times New Roman"/>
      <w:color w:val="00617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0C5C4A"/>
    <w:pPr>
      <w:keepNext/>
      <w:keepLines/>
      <w:spacing w:before="40" w:after="0"/>
      <w:outlineLvl w:val="1"/>
    </w:pPr>
    <w:rPr>
      <w:rFonts w:eastAsia="Times New Roman"/>
      <w:color w:val="00617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C4A"/>
    <w:pPr>
      <w:keepNext/>
      <w:keepLines/>
      <w:spacing w:before="40" w:after="0"/>
      <w:outlineLvl w:val="2"/>
    </w:pPr>
    <w:rPr>
      <w:rFonts w:eastAsia="Times New Roman"/>
      <w:color w:val="00404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A32"/>
    <w:pPr>
      <w:keepNext/>
      <w:keepLines/>
      <w:spacing w:before="40" w:after="0"/>
      <w:outlineLvl w:val="3"/>
    </w:pPr>
    <w:rPr>
      <w:rFonts w:eastAsia="Times New Roman"/>
      <w:i/>
      <w:iCs/>
      <w:color w:val="00617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qFormat/>
    <w:rsid w:val="007E2835"/>
    <w:pPr>
      <w:spacing w:after="170"/>
    </w:pPr>
  </w:style>
  <w:style w:type="paragraph" w:customStyle="1" w:styleId="CBIntroPara">
    <w:name w:val="CB_Intro Para"/>
    <w:basedOn w:val="Normal"/>
    <w:qFormat/>
    <w:rsid w:val="007E2835"/>
    <w:pPr>
      <w:spacing w:before="240" w:after="170" w:line="240" w:lineRule="auto"/>
    </w:pPr>
    <w:rPr>
      <w:color w:val="0083A0"/>
      <w:sz w:val="32"/>
      <w:szCs w:val="26"/>
    </w:rPr>
  </w:style>
  <w:style w:type="paragraph" w:customStyle="1" w:styleId="CBHeading3">
    <w:name w:val="CB_Heading 3"/>
    <w:basedOn w:val="Heading3"/>
    <w:next w:val="BodyText"/>
    <w:qFormat/>
    <w:rsid w:val="007E2835"/>
    <w:pPr>
      <w:spacing w:before="240" w:after="40"/>
    </w:pPr>
    <w:rPr>
      <w:b/>
      <w:color w:val="0083A0"/>
      <w:sz w:val="26"/>
    </w:rPr>
  </w:style>
  <w:style w:type="paragraph" w:customStyle="1" w:styleId="StyledBullets">
    <w:name w:val="Styled Bullets"/>
    <w:basedOn w:val="BodyCopy"/>
    <w:qFormat/>
    <w:rsid w:val="0090247A"/>
    <w:pPr>
      <w:numPr>
        <w:numId w:val="1"/>
      </w:numPr>
      <w:tabs>
        <w:tab w:val="left" w:pos="284"/>
      </w:tabs>
      <w:spacing w:after="60"/>
    </w:pPr>
  </w:style>
  <w:style w:type="paragraph" w:customStyle="1" w:styleId="DocumentTitleinHeader">
    <w:name w:val="Document Title in Header"/>
    <w:basedOn w:val="Normal"/>
    <w:qFormat/>
    <w:rsid w:val="00FD35A6"/>
    <w:pPr>
      <w:spacing w:after="0" w:line="240" w:lineRule="auto"/>
      <w:jc w:val="right"/>
    </w:pPr>
    <w:rPr>
      <w:sz w:val="14"/>
      <w:szCs w:val="14"/>
    </w:rPr>
  </w:style>
  <w:style w:type="paragraph" w:customStyle="1" w:styleId="CBWhiteTextinPullout">
    <w:name w:val="CB_White Text in Pull out"/>
    <w:basedOn w:val="BodyCopy"/>
    <w:qFormat/>
    <w:rsid w:val="007E2835"/>
    <w:rPr>
      <w:color w:val="FFFFFF"/>
      <w:sz w:val="24"/>
      <w:szCs w:val="24"/>
    </w:rPr>
  </w:style>
  <w:style w:type="paragraph" w:customStyle="1" w:styleId="CBTableTitle">
    <w:name w:val="CB_Table Title"/>
    <w:basedOn w:val="BodyCopy"/>
    <w:rsid w:val="00B62866"/>
    <w:pPr>
      <w:spacing w:before="240"/>
    </w:pPr>
    <w:rPr>
      <w:rFonts w:ascii="Lato Semibold" w:hAnsi="Lato Semibold"/>
      <w:b/>
      <w:color w:val="09506C"/>
      <w:szCs w:val="20"/>
    </w:rPr>
  </w:style>
  <w:style w:type="character" w:customStyle="1" w:styleId="CBTableTitle0">
    <w:name w:val="CB_Table Title |"/>
    <w:uiPriority w:val="1"/>
    <w:qFormat/>
    <w:rsid w:val="00022233"/>
    <w:rPr>
      <w:color w:val="D4E388"/>
    </w:rPr>
  </w:style>
  <w:style w:type="table" w:customStyle="1" w:styleId="CBTable">
    <w:name w:val="CB_Table"/>
    <w:basedOn w:val="TableNormal"/>
    <w:uiPriority w:val="99"/>
    <w:rsid w:val="00D94820"/>
    <w:tblPr>
      <w:tblStyleRowBandSize w:val="1"/>
      <w:tblBorders>
        <w:top w:val="single" w:sz="4" w:space="0" w:color="09506C"/>
        <w:bottom w:val="single" w:sz="4" w:space="0" w:color="09506C"/>
        <w:insideH w:val="single" w:sz="4" w:space="0" w:color="09506C"/>
        <w:insideV w:val="single" w:sz="4" w:space="0" w:color="09506C"/>
      </w:tblBorders>
      <w:tblCellMar>
        <w:top w:w="113" w:type="dxa"/>
        <w:left w:w="170" w:type="dxa"/>
        <w:bottom w:w="113" w:type="dxa"/>
      </w:tblCellMar>
    </w:tblPr>
    <w:tcPr>
      <w:shd w:val="clear" w:color="auto" w:fill="auto"/>
    </w:tcPr>
    <w:tblStylePr w:type="firstRow">
      <w:rPr>
        <w:rFonts w:ascii="Lato Semibold" w:hAnsi="Lato Semibold"/>
        <w:caps w:val="0"/>
        <w:smallCaps w:val="0"/>
        <w:color w:val="09506C"/>
        <w:sz w:val="22"/>
      </w:rPr>
      <w:tblPr/>
      <w:tcPr>
        <w:shd w:val="clear" w:color="auto" w:fill="D4E388"/>
      </w:tcPr>
    </w:tblStylePr>
    <w:tblStylePr w:type="firstCol">
      <w:rPr>
        <w:rFonts w:ascii="Lato Semibold" w:hAnsi="Lato Semibold"/>
        <w:color w:val="09506C"/>
        <w:sz w:val="20"/>
      </w:rPr>
    </w:tblStylePr>
    <w:tblStylePr w:type="band1Horz">
      <w:tblPr/>
      <w:tcPr>
        <w:shd w:val="clear" w:color="auto" w:fill="D9D9D9"/>
      </w:tcPr>
    </w:tblStylePr>
  </w:style>
  <w:style w:type="paragraph" w:customStyle="1" w:styleId="CBHeading1">
    <w:name w:val="CB_Heading 1"/>
    <w:basedOn w:val="Heading1"/>
    <w:next w:val="BodyCopy"/>
    <w:qFormat/>
    <w:rsid w:val="007E2835"/>
    <w:pPr>
      <w:spacing w:after="120" w:line="240" w:lineRule="auto"/>
    </w:pPr>
    <w:rPr>
      <w:b/>
      <w:color w:val="0083A0"/>
      <w:sz w:val="48"/>
      <w:szCs w:val="88"/>
    </w:rPr>
  </w:style>
  <w:style w:type="paragraph" w:styleId="TOC3">
    <w:name w:val="toc 3"/>
    <w:basedOn w:val="Normal"/>
    <w:next w:val="Normal"/>
    <w:autoRedefine/>
    <w:uiPriority w:val="39"/>
    <w:unhideWhenUsed/>
    <w:rsid w:val="00BB47F5"/>
    <w:pPr>
      <w:tabs>
        <w:tab w:val="right" w:leader="dot" w:pos="9356"/>
      </w:tabs>
      <w:spacing w:after="120" w:line="276" w:lineRule="auto"/>
      <w:ind w:left="442"/>
    </w:pPr>
    <w:rPr>
      <w:b/>
      <w:noProof/>
    </w:rPr>
  </w:style>
  <w:style w:type="paragraph" w:customStyle="1" w:styleId="CBQuotePulloutforMargin">
    <w:name w:val="CB_Quote_Pull out for Margin"/>
    <w:basedOn w:val="Normal"/>
    <w:qFormat/>
    <w:rsid w:val="00BD492C"/>
    <w:pPr>
      <w:spacing w:after="147" w:line="380" w:lineRule="exact"/>
    </w:pPr>
    <w:rPr>
      <w:color w:val="0083A0"/>
      <w:sz w:val="28"/>
      <w:szCs w:val="28"/>
    </w:rPr>
  </w:style>
  <w:style w:type="paragraph" w:customStyle="1" w:styleId="CBQuoteHeadingforPullout">
    <w:name w:val="CB_Quote_Heading for Pull out"/>
    <w:basedOn w:val="CBQuotePulloutforMargin"/>
    <w:rsid w:val="006E0151"/>
    <w:pPr>
      <w:spacing w:after="120" w:line="360" w:lineRule="exact"/>
    </w:pPr>
    <w:rPr>
      <w:b/>
      <w:color w:val="09506C"/>
      <w:sz w:val="32"/>
      <w:szCs w:val="32"/>
    </w:rPr>
  </w:style>
  <w:style w:type="paragraph" w:customStyle="1" w:styleId="CBQuoteTextforPullout">
    <w:name w:val="CB_Quote_Text for Pull out"/>
    <w:basedOn w:val="CBQuotePulloutforMargin"/>
    <w:rsid w:val="009A3F7A"/>
    <w:pPr>
      <w:spacing w:after="120" w:line="360" w:lineRule="exact"/>
    </w:pPr>
    <w:rPr>
      <w:rFonts w:ascii="Lato Semibold" w:hAnsi="Lato Semibold"/>
      <w:color w:val="09506C"/>
    </w:rPr>
  </w:style>
  <w:style w:type="paragraph" w:customStyle="1" w:styleId="CBChartTitle">
    <w:name w:val="CB_Chart Title"/>
    <w:basedOn w:val="CBTableTitle"/>
    <w:qFormat/>
    <w:rsid w:val="00FD35A6"/>
    <w:rPr>
      <w:rFonts w:ascii="Lato" w:hAnsi="Lato"/>
    </w:rPr>
  </w:style>
  <w:style w:type="character" w:customStyle="1" w:styleId="FigureTitle">
    <w:name w:val="Figure Title |"/>
    <w:uiPriority w:val="1"/>
    <w:qFormat/>
    <w:rsid w:val="008B7D82"/>
  </w:style>
  <w:style w:type="paragraph" w:customStyle="1" w:styleId="CoverTitle">
    <w:name w:val="Cover Title"/>
    <w:basedOn w:val="Normal"/>
    <w:qFormat/>
    <w:rsid w:val="00BB47F5"/>
    <w:pPr>
      <w:spacing w:after="0" w:line="240" w:lineRule="auto"/>
    </w:pPr>
    <w:rPr>
      <w:b/>
      <w:noProof/>
      <w:color w:val="FFFFFF"/>
      <w:sz w:val="72"/>
      <w:szCs w:val="54"/>
      <w:lang w:eastAsia="en-IE"/>
    </w:rPr>
  </w:style>
  <w:style w:type="paragraph" w:customStyle="1" w:styleId="CoverSubtitle">
    <w:name w:val="Cover Subtitle"/>
    <w:basedOn w:val="Normal"/>
    <w:qFormat/>
    <w:rsid w:val="00BB47F5"/>
    <w:pPr>
      <w:spacing w:after="0" w:line="240" w:lineRule="auto"/>
    </w:pPr>
    <w:rPr>
      <w:rFonts w:ascii="Lato Light" w:hAnsi="Lato Light"/>
      <w:color w:val="FFFFFF"/>
      <w:sz w:val="72"/>
      <w:szCs w:val="54"/>
    </w:rPr>
  </w:style>
  <w:style w:type="paragraph" w:customStyle="1" w:styleId="ContactInfo">
    <w:name w:val="Contact Info"/>
    <w:basedOn w:val="Normal"/>
    <w:qFormat/>
    <w:rsid w:val="00445E2C"/>
    <w:pPr>
      <w:widowControl w:val="0"/>
      <w:suppressAutoHyphens/>
      <w:autoSpaceDE w:val="0"/>
      <w:autoSpaceDN w:val="0"/>
      <w:adjustRightInd w:val="0"/>
      <w:spacing w:after="227" w:line="276" w:lineRule="auto"/>
      <w:textAlignment w:val="center"/>
    </w:pPr>
    <w:rPr>
      <w:rFonts w:eastAsia="Times New Roman" w:cs="HelveticaNeueLTStd-Lt"/>
      <w:color w:val="FFFFFF"/>
      <w:sz w:val="20"/>
      <w:szCs w:val="20"/>
      <w:lang w:val="en-GB"/>
    </w:rPr>
  </w:style>
  <w:style w:type="paragraph" w:customStyle="1" w:styleId="CBQuotePulloutforMarginOrange">
    <w:name w:val="CB_Quote_Pull out for Margin_Orange"/>
    <w:basedOn w:val="Normal"/>
    <w:qFormat/>
    <w:rsid w:val="00BD492C"/>
    <w:rPr>
      <w:color w:val="F57E2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60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896"/>
  </w:style>
  <w:style w:type="character" w:customStyle="1" w:styleId="Heading1Char">
    <w:name w:val="Heading 1 Char"/>
    <w:link w:val="Heading1"/>
    <w:uiPriority w:val="9"/>
    <w:semiHidden/>
    <w:rsid w:val="00675330"/>
    <w:rPr>
      <w:rFonts w:ascii="Lato" w:eastAsia="Times New Roman" w:hAnsi="Lato" w:cs="Times New Roman"/>
      <w:color w:val="006177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E30B6"/>
    <w:pPr>
      <w:spacing w:before="0" w:line="240" w:lineRule="auto"/>
      <w:outlineLvl w:val="9"/>
    </w:pPr>
    <w:rPr>
      <w:b/>
      <w:color w:val="09506C"/>
      <w:sz w:val="48"/>
      <w:lang w:val="en-US"/>
    </w:rPr>
  </w:style>
  <w:style w:type="character" w:customStyle="1" w:styleId="Heading3Char">
    <w:name w:val="Heading 3 Char"/>
    <w:link w:val="Heading3"/>
    <w:uiPriority w:val="9"/>
    <w:semiHidden/>
    <w:rsid w:val="000C5C4A"/>
    <w:rPr>
      <w:rFonts w:ascii="Lato" w:eastAsia="Times New Roman" w:hAnsi="Lato" w:cs="Times New Roman"/>
      <w:color w:val="00404F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0C5C4A"/>
    <w:rPr>
      <w:rFonts w:ascii="Lato" w:eastAsia="Times New Roman" w:hAnsi="Lato" w:cs="Times New Roman"/>
      <w:color w:val="006177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B47F5"/>
    <w:pPr>
      <w:tabs>
        <w:tab w:val="right" w:leader="dot" w:pos="9356"/>
      </w:tabs>
      <w:spacing w:after="120" w:line="276" w:lineRule="auto"/>
    </w:pPr>
    <w:rPr>
      <w:b/>
      <w:noProof/>
      <w:color w:val="0083A0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BB47F5"/>
    <w:pPr>
      <w:tabs>
        <w:tab w:val="right" w:leader="dot" w:pos="9356"/>
      </w:tabs>
      <w:spacing w:after="120" w:line="276" w:lineRule="auto"/>
      <w:ind w:left="221"/>
    </w:pPr>
    <w:rPr>
      <w:b/>
      <w:noProof/>
      <w:sz w:val="24"/>
    </w:rPr>
  </w:style>
  <w:style w:type="character" w:styleId="Hyperlink">
    <w:name w:val="Hyperlink"/>
    <w:uiPriority w:val="99"/>
    <w:unhideWhenUsed/>
    <w:rsid w:val="004847C3"/>
    <w:rPr>
      <w:color w:val="7C477E"/>
      <w:u w:val="single"/>
    </w:rPr>
  </w:style>
  <w:style w:type="paragraph" w:customStyle="1" w:styleId="CBHeading2">
    <w:name w:val="CB_Heading 2"/>
    <w:basedOn w:val="Heading2"/>
    <w:next w:val="BodyCopy"/>
    <w:autoRedefine/>
    <w:qFormat/>
    <w:rsid w:val="007E2835"/>
    <w:pPr>
      <w:spacing w:before="240" w:after="80"/>
    </w:pPr>
    <w:rPr>
      <w:b/>
      <w:color w:val="0083A0"/>
      <w:sz w:val="32"/>
      <w:szCs w:val="32"/>
    </w:rPr>
  </w:style>
  <w:style w:type="paragraph" w:styleId="NoSpacing">
    <w:name w:val="No Spacing"/>
    <w:basedOn w:val="Heading3"/>
    <w:next w:val="Normal"/>
    <w:autoRedefine/>
    <w:uiPriority w:val="1"/>
    <w:qFormat/>
    <w:rsid w:val="004847C3"/>
    <w:pPr>
      <w:spacing w:line="240" w:lineRule="auto"/>
    </w:pPr>
    <w:rPr>
      <w:color w:val="0083A0"/>
    </w:rPr>
  </w:style>
  <w:style w:type="paragraph" w:styleId="BodyText">
    <w:name w:val="Body Text"/>
    <w:basedOn w:val="Normal"/>
    <w:link w:val="BodyTextChar"/>
    <w:uiPriority w:val="99"/>
    <w:semiHidden/>
    <w:unhideWhenUsed/>
    <w:rsid w:val="00AD3E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3EDA"/>
  </w:style>
  <w:style w:type="paragraph" w:customStyle="1" w:styleId="CBQuotePulloutforMargin-Purple">
    <w:name w:val="CB_Quote_Pull out for Margin-Purple"/>
    <w:basedOn w:val="CBQuotePulloutforMarginOrange"/>
    <w:qFormat/>
    <w:rsid w:val="00BD492C"/>
    <w:rPr>
      <w:color w:val="7C477E"/>
    </w:rPr>
  </w:style>
  <w:style w:type="paragraph" w:customStyle="1" w:styleId="FigureText">
    <w:name w:val="Figure Text"/>
    <w:basedOn w:val="CBTableTitle"/>
    <w:qFormat/>
    <w:rsid w:val="00FA2B6C"/>
    <w:pPr>
      <w:spacing w:after="120"/>
      <w:jc w:val="both"/>
    </w:pPr>
    <w:rPr>
      <w:color w:val="0083A0"/>
      <w:sz w:val="16"/>
      <w:szCs w:val="16"/>
    </w:rPr>
  </w:style>
  <w:style w:type="character" w:styleId="FootnoteReference">
    <w:name w:val="footnote reference"/>
    <w:uiPriority w:val="99"/>
    <w:unhideWhenUsed/>
    <w:rsid w:val="00645F45"/>
    <w:rPr>
      <w:vertAlign w:val="superscript"/>
    </w:rPr>
  </w:style>
  <w:style w:type="paragraph" w:customStyle="1" w:styleId="CBQuotePulOutforMarginPurple">
    <w:name w:val="CB_Quote_Pul_Out for Margin_Purple"/>
    <w:basedOn w:val="CBQuotePulloutforMarginOrange"/>
    <w:qFormat/>
    <w:rsid w:val="00ED03F1"/>
    <w:rPr>
      <w:color w:val="7C477E"/>
    </w:rPr>
  </w:style>
  <w:style w:type="paragraph" w:customStyle="1" w:styleId="HighlightedTextBoxTitle">
    <w:name w:val="Highlighted Text Box Title"/>
    <w:basedOn w:val="CBWhiteTextinPullout"/>
    <w:qFormat/>
    <w:rsid w:val="00433EFC"/>
    <w:rPr>
      <w:b/>
    </w:rPr>
  </w:style>
  <w:style w:type="paragraph" w:customStyle="1" w:styleId="CBHeading4">
    <w:name w:val="CB_Heading 4"/>
    <w:basedOn w:val="Heading4"/>
    <w:next w:val="BodyCopy"/>
    <w:qFormat/>
    <w:rsid w:val="00DB2A32"/>
    <w:rPr>
      <w:b/>
      <w:i w:val="0"/>
      <w:color w:val="auto"/>
      <w:sz w:val="24"/>
    </w:rPr>
  </w:style>
  <w:style w:type="character" w:customStyle="1" w:styleId="Heading4Char">
    <w:name w:val="Heading 4 Char"/>
    <w:link w:val="Heading4"/>
    <w:uiPriority w:val="9"/>
    <w:semiHidden/>
    <w:rsid w:val="00DB2A32"/>
    <w:rPr>
      <w:rFonts w:ascii="Lato" w:eastAsia="Times New Roman" w:hAnsi="Lato" w:cs="Times New Roman"/>
      <w:i/>
      <w:iCs/>
      <w:color w:val="006177"/>
    </w:rPr>
  </w:style>
  <w:style w:type="paragraph" w:styleId="NormalWeb">
    <w:name w:val="Normal (Web)"/>
    <w:basedOn w:val="Normal"/>
    <w:uiPriority w:val="99"/>
    <w:unhideWhenUsed/>
    <w:rsid w:val="00477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4771B6"/>
    <w:rPr>
      <w:b/>
      <w:bCs/>
    </w:rPr>
  </w:style>
  <w:style w:type="character" w:styleId="Emphasis">
    <w:name w:val="Emphasis"/>
    <w:uiPriority w:val="20"/>
    <w:qFormat/>
    <w:rsid w:val="004771B6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09CB"/>
    <w:pPr>
      <w:spacing w:after="0" w:line="240" w:lineRule="auto"/>
    </w:pPr>
    <w:rPr>
      <w:rFonts w:ascii="Calibri" w:eastAsia="Calibri" w:hAnsi="Calibri"/>
      <w:sz w:val="20"/>
      <w:szCs w:val="24"/>
      <w:lang w:val="pl-PL" w:eastAsia="en-IE"/>
    </w:rPr>
  </w:style>
  <w:style w:type="character" w:customStyle="1" w:styleId="FootnoteTextChar">
    <w:name w:val="Footnote Text Char"/>
    <w:link w:val="FootnoteText"/>
    <w:uiPriority w:val="99"/>
    <w:semiHidden/>
    <w:rsid w:val="00FD09CB"/>
    <w:rPr>
      <w:rFonts w:ascii="Calibri" w:eastAsia="Calibri" w:hAnsi="Calibri" w:cs="Times New Roman"/>
      <w:sz w:val="20"/>
      <w:szCs w:val="24"/>
      <w:lang w:val="pl-PL" w:eastAsia="en-IE"/>
    </w:rPr>
  </w:style>
  <w:style w:type="paragraph" w:styleId="Header">
    <w:name w:val="header"/>
    <w:basedOn w:val="Normal"/>
    <w:link w:val="HeaderChar"/>
    <w:uiPriority w:val="99"/>
    <w:rsid w:val="00FD09C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HeaderChar">
    <w:name w:val="Header Char"/>
    <w:link w:val="Header"/>
    <w:uiPriority w:val="99"/>
    <w:rsid w:val="00FD09CB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FD09CB"/>
    <w:pPr>
      <w:spacing w:line="259" w:lineRule="auto"/>
      <w:ind w:left="720"/>
      <w:contextualSpacing/>
    </w:pPr>
    <w:rPr>
      <w:rFonts w:ascii="Calibri" w:eastAsia="Calibri" w:hAnsi="Calibri"/>
      <w:lang w:val="pl-PL" w:eastAsia="en-IE"/>
    </w:rPr>
  </w:style>
  <w:style w:type="character" w:styleId="FollowedHyperlink">
    <w:name w:val="FollowedHyperlink"/>
    <w:uiPriority w:val="99"/>
    <w:semiHidden/>
    <w:unhideWhenUsed/>
    <w:rsid w:val="006A49E2"/>
    <w:rPr>
      <w:color w:val="7C477E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1047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375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8D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58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8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58DB"/>
    <w:rPr>
      <w:b/>
      <w:bCs/>
      <w:lang w:eastAsia="en-US"/>
    </w:rPr>
  </w:style>
  <w:style w:type="paragraph" w:styleId="Revision">
    <w:name w:val="Revision"/>
    <w:hidden/>
    <w:uiPriority w:val="99"/>
    <w:semiHidden/>
    <w:rsid w:val="009E5F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50863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www.centralbank.ie/docs/default-source/regulation/industry-market-sectors/insurance-reinsurance/solvency-ii/national-specific-templates/nst-02-tech-spec.pdf?sfvrsn=4" TargetMode="External"/><Relationship Id="rId26" Type="http://schemas.openxmlformats.org/officeDocument/2006/relationships/hyperlink" Target="https://www.centralbank.ie/docs/default-source/regulation/industry-market-sectors/insurance-reinsurance/solvency-ii/national-specific-templates/nst-11-tech-spec.pdf?sfvrsn=5486d11d_2" TargetMode="External"/><Relationship Id="rId39" Type="http://schemas.openxmlformats.org/officeDocument/2006/relationships/hyperlink" Target="https://www.centralbank.ie/docs/default-source/regulation/industry-market-sectors/insurance-reinsurance/solvency-ii/national-specific-templates/dpm-and-taxonomy---version-1.5.0/nst-1-5-0-list-of-validations.xlsx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centralbank.ie/docs/default-source/regulation/industry-market-sectors/insurance-reinsurance/solvency-ii/national-specific-templates/nst-04-tech-spec.pdf?sfvrsn=4e86d11d_6" TargetMode="External"/><Relationship Id="rId34" Type="http://schemas.openxmlformats.org/officeDocument/2006/relationships/hyperlink" Target="https://www.centralbank.ie/docs/default-source/regulation/industry-market-sectors/insurance-reinsurance/solvency-ii/national-specific-templates/dpm-and-taxonomy---version-1.5.0/nst-1-5-0-xbrl-taxonomy-package.zip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centralbank.ie/docs/default-source/regulation/industry-market-sectors/insurance-reinsurance/solvency-ii/national-specific-templates/nst-01-tech-spec-quarterly.pdf?sfvrsn=212bb11d_14" TargetMode="External"/><Relationship Id="rId25" Type="http://schemas.openxmlformats.org/officeDocument/2006/relationships/hyperlink" Target="https://www.centralbank.ie/docs/default-source/regulation/industry-market-sectors/insurance-reinsurance/solvency-ii/national-specific-templates/nst8-10-tech-spec.pdf?sfvrsn=dd86d11d_2" TargetMode="External"/><Relationship Id="rId33" Type="http://schemas.openxmlformats.org/officeDocument/2006/relationships/hyperlink" Target="https://www.centralbank.ie/docs/default-source/regulation/industry-market-sectors/insurance-reinsurance/solvency-ii/national-specific-templates/dpm-and-taxonomy---version-1.5.0/1-5-0-xbrl-taxonomy-documentation.doc" TargetMode="External"/><Relationship Id="rId38" Type="http://schemas.openxmlformats.org/officeDocument/2006/relationships/hyperlink" Target="https://dev.eiopa.europa.eu/Taxonomy/Full/2.7.0/Common/EIOPA_XBRL_Filing_Rules_2.7.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entralbank.ie/docs/default-source/regulation/industry-market-sectors/insurance-reinsurance/solvency-ii/national-specific-templates/nst-01-tech-spec.pdf?sfvrsn=6" TargetMode="External"/><Relationship Id="rId20" Type="http://schemas.openxmlformats.org/officeDocument/2006/relationships/hyperlink" Target="https://www.centralbank.ie/docs/default-source/regulation/industry-market-sectors/insurance-reinsurance/solvency-ii/national-specific-templates/nst-03.pdf?sfvrsn=d086d11d_8" TargetMode="External"/><Relationship Id="rId29" Type="http://schemas.openxmlformats.org/officeDocument/2006/relationships/hyperlink" Target="https://www.centralbank.ie/docs/default-source/statistics/statistical-reporting-requirements/insurance-corporations/nst-13-notes-on-compilation.pdf?sfvrsn=e1cad61d_18" TargetMode="External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www.centralbank.ie/docs/default-source/regulation/industry-market-sectors/insurance-reinsurance/solvency-ii/national-specific-templates/nst-07-tech-spec.pdf?sfvrsn=e386d11d_6" TargetMode="External"/><Relationship Id="rId32" Type="http://schemas.openxmlformats.org/officeDocument/2006/relationships/hyperlink" Target="https://www.centralbank.ie/docs/default-source/regulation/industry-market-sectors/insurance-reinsurance/solvency-ii/national-specific-templates/dpm-and-taxonomy---version-1.5.0/nst-1-5-0-dpm-documentation.doc" TargetMode="External"/><Relationship Id="rId37" Type="http://schemas.openxmlformats.org/officeDocument/2006/relationships/hyperlink" Target="https://dev.eiopa.europa.eu/Taxonomy/Full/2.7.0/common/EIOPA_Validations_Syntax_2.7.0.pdf" TargetMode="External"/><Relationship Id="rId40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yperlink" Target="mailto:SIITestReturns@centralbank.ie" TargetMode="External"/><Relationship Id="rId23" Type="http://schemas.openxmlformats.org/officeDocument/2006/relationships/hyperlink" Target="https://www.centralbank.ie/docs/default-source/regulation/industry-market-sectors/insurance-reinsurance/solvency-ii/national-specific-templates/nst-06-tech-spec.pdf?sfvrsn=ec86d11d_8" TargetMode="External"/><Relationship Id="rId28" Type="http://schemas.openxmlformats.org/officeDocument/2006/relationships/hyperlink" Target="https://www.centralbank.ie/docs/default-source/statistics/statistical-reporting-requirements/insurance-corporations/nst-12-notes-on-compilation.pdf?sfvrsn=39cad61d_8" TargetMode="External"/><Relationship Id="rId36" Type="http://schemas.openxmlformats.org/officeDocument/2006/relationships/hyperlink" Target="https://www.centralbank.ie/docs/default-source/regulation/industry-market-sectors/insurance-reinsurance/solvency-ii/national-specific-templates/dpm-and-taxonomy---version-1.5.0/nst-1-5-0-list-of-validations.xlsx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centralbank.ie/docs/default-source/regulation/industry-market-sectors/insurance-reinsurance/solvency-ii/national-specific-templates/nst.02-tech-spec-quarterly.pdf?sfvrsn=4" TargetMode="External"/><Relationship Id="rId31" Type="http://schemas.openxmlformats.org/officeDocument/2006/relationships/hyperlink" Target="https://www.centralbank.ie/docs/default-source/regulation/industry-market-sectors/insurance-reinsurance/solvency-ii/national-specific-templates/dpm-and-taxonomy---version-1.5.0/nst-1-5-0-list-of-known-issues.xlsx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centralbank.ie/docs/default-source/regulation/industry-market-sectors/insurance-reinsurance/solvency-ii/national-specific-templates/nst-05-tech-spec.pdf?sfvrsn=51d5d71d_4" TargetMode="External"/><Relationship Id="rId27" Type="http://schemas.openxmlformats.org/officeDocument/2006/relationships/hyperlink" Target="https://www.centralbank.ie/docs/default-source/regulation/industry-market-sectors/insurance-reinsurance/solvency-ii/national-specific-templates/nst.14-tech-spec.pdf?sfvrsn=4" TargetMode="External"/><Relationship Id="rId30" Type="http://schemas.openxmlformats.org/officeDocument/2006/relationships/hyperlink" Target="https://www.centralbank.ie/docs/default-source/regulation/industry-market-sectors/insurance-reinsurance/solvency-ii/national-specific-templates/dpm-and-taxonomy---version-1.5.0/nst-1-5-0-dpm-documentation.doc" TargetMode="External"/><Relationship Id="rId35" Type="http://schemas.openxmlformats.org/officeDocument/2006/relationships/hyperlink" Target="https://www.centralbank.ie/docs/default-source/regulation/industry-market-sectors/insurance-reinsurance/solvency-ii/national-specific-templates/dpm-and-taxonomy---version-1.5.0/nst-1-5-0-xbrl-test-instance-documents.zip" TargetMode="External"/><Relationship Id="rId43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xxx@centralbank.ie" TargetMode="External"/><Relationship Id="rId2" Type="http://schemas.openxmlformats.org/officeDocument/2006/relationships/hyperlink" Target="http://www.centralbank.ie" TargetMode="External"/><Relationship Id="rId1" Type="http://schemas.openxmlformats.org/officeDocument/2006/relationships/hyperlink" Target="mailto:xxx@centralbank.ie" TargetMode="External"/><Relationship Id="rId4" Type="http://schemas.openxmlformats.org/officeDocument/2006/relationships/hyperlink" Target="http://www.centralbank.ie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ev.eiopa.europa.eu/Taxonomy/Full/2.7.0/S2/EIOPA_SolvencyII_DPM_Annotated_Templates_2.7.0.xlsx" TargetMode="External"/><Relationship Id="rId2" Type="http://schemas.openxmlformats.org/officeDocument/2006/relationships/hyperlink" Target="https://dev.eiopa.europa.eu/Taxonomy/Full/2.7.0/Common/EIOPA_DPM_Dictionary_2.7.0.xlsx" TargetMode="External"/><Relationship Id="rId1" Type="http://schemas.openxmlformats.org/officeDocument/2006/relationships/hyperlink" Target="https://eiopa.europa.eu/regulation-supervision/insurance/reporting-format" TargetMode="External"/><Relationship Id="rId4" Type="http://schemas.openxmlformats.org/officeDocument/2006/relationships/hyperlink" Target="https://dev.eiopa.europa.eu/Taxonomy/Full/2.7.0/S2/EIOPA_SolvencyII_XBRL_Taxonomy_2.7.0_hotfix.zip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cluster\APPS\MSOFFICE\Official%20Central%20Bank%20Templates\Official%20Publications\CB_Policy_Template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9098583481149093"/>
          <c:y val="0.14428332672857905"/>
          <c:w val="0.38586475988523133"/>
          <c:h val="0.66154275573321386"/>
        </c:manualLayout>
      </c:layout>
      <c:doughnut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10552550496405341"/>
          <c:y val="0.81916636840849433"/>
          <c:w val="0.82605687134957939"/>
          <c:h val="0.99999999999999989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CentralBank_MasterColours">
    <a:dk1>
      <a:sysClr val="windowText" lastClr="000000"/>
    </a:dk1>
    <a:lt1>
      <a:sysClr val="window" lastClr="FFFFFF"/>
    </a:lt1>
    <a:dk2>
      <a:srgbClr val="7C477E"/>
    </a:dk2>
    <a:lt2>
      <a:srgbClr val="09506C"/>
    </a:lt2>
    <a:accent1>
      <a:srgbClr val="0083A0"/>
    </a:accent1>
    <a:accent2>
      <a:srgbClr val="5EC5C2"/>
    </a:accent2>
    <a:accent3>
      <a:srgbClr val="D4E388"/>
    </a:accent3>
    <a:accent4>
      <a:srgbClr val="007DC3"/>
    </a:accent4>
    <a:accent5>
      <a:srgbClr val="D12E7C"/>
    </a:accent5>
    <a:accent6>
      <a:srgbClr val="F57E20"/>
    </a:accent6>
    <a:hlink>
      <a:srgbClr val="007DC3"/>
    </a:hlink>
    <a:folHlink>
      <a:srgbClr val="7C477E"/>
    </a:folHlink>
  </a:clrScheme>
  <a:fontScheme name="CentralBank_MasterFonts">
    <a:majorFont>
      <a:latin typeface="Lato"/>
      <a:ea typeface=""/>
      <a:cs typeface=""/>
    </a:majorFont>
    <a:minorFont>
      <a:latin typeface="Lato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586b747-2a7c-4f57-bcd1-e81df5c8c005" origin="userSelected">
  <element uid="33ed6465-8d2f-4fab-bbbc-787e2c148707" value=""/>
  <element uid="28c775dd-3fa7-40f2-8368-0e7fa48abc2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D8CA8-1CA6-4664-A9BC-79494EAA7D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C4A7289-16C3-47B3-9FC9-2BFE2034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CB_Policy_Template.dotx</Template>
  <TotalTime>0</TotalTime>
  <Pages>9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Links>
    <vt:vector size="300" baseType="variant">
      <vt:variant>
        <vt:i4>7405669</vt:i4>
      </vt:variant>
      <vt:variant>
        <vt:i4>138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https://www.centralbank.ie/docs/default-source/regulation/industry-market-sectors/insurance-reinsurance/solvency-ii/national-specific-templates/dpm-and-taxonomy---version-1.5.0/nst-1-5-0-list-of-validations.xlsx</vt:lpwstr>
      </vt:variant>
      <vt:variant>
        <vt:lpwstr/>
      </vt:variant>
      <vt:variant>
        <vt:i4>3473457</vt:i4>
      </vt:variant>
      <vt:variant>
        <vt:i4>135</vt:i4>
      </vt:variant>
      <vt:variant>
        <vt:i4>0</vt:i4>
      </vt:variant>
      <vt:variant>
        <vt:i4>5</vt:i4>
      </vt:variant>
      <vt:variant>
        <vt:lpwstr>https://dev.eiopa.europa.eu/Taxonomy/Full/2.7.0/Common/EIOPA_XBRL_Filing_Rules_2.7.0.pdf</vt:lpwstr>
      </vt:variant>
      <vt:variant>
        <vt:lpwstr/>
      </vt:variant>
      <vt:variant>
        <vt:i4>3538944</vt:i4>
      </vt:variant>
      <vt:variant>
        <vt:i4>132</vt:i4>
      </vt:variant>
      <vt:variant>
        <vt:i4>0</vt:i4>
      </vt:variant>
      <vt:variant>
        <vt:i4>5</vt:i4>
      </vt:variant>
      <vt:variant>
        <vt:lpwstr>https://dev.eiopa.europa.eu/Taxonomy/Full/2.7.0/common/EIOPA_Validations_Syntax_2.7.0.pdf</vt:lpwstr>
      </vt:variant>
      <vt:variant>
        <vt:lpwstr/>
      </vt:variant>
      <vt:variant>
        <vt:i4>7405669</vt:i4>
      </vt:variant>
      <vt:variant>
        <vt:i4>129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https://www.centralbank.ie/docs/default-source/regulation/industry-market-sectors/insurance-reinsurance/solvency-ii/national-specific-templates/dpm-and-taxonomy---version-1.5.0/nst-1-5-0-list-of-validations.xlsx</vt:lpwstr>
      </vt:variant>
      <vt:variant>
        <vt:lpwstr/>
      </vt:variant>
      <vt:variant>
        <vt:i4>7798830</vt:i4>
      </vt:variant>
      <vt:variant>
        <vt:i4>126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https://www.centralbank.ie/docs/default-source/regulation/industry-market-sectors/insurance-reinsurance/solvency-ii/national-specific-templates/dpm-and-taxonomy---version-1.5.0/nst-1-5-0-xbrl-test-instance-documents.zip</vt:lpwstr>
      </vt:variant>
      <vt:variant>
        <vt:lpwstr/>
      </vt:variant>
      <vt:variant>
        <vt:i4>1703952</vt:i4>
      </vt:variant>
      <vt:variant>
        <vt:i4>123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https://www.centralbank.ie/docs/default-source/regulation/industry-market-sectors/insurance-reinsurance/solvency-ii/national-specific-templates/dpm-and-taxonomy---version-1.5.0/nst-1-5-0-xbrl-taxonomy-package.zip</vt:lpwstr>
      </vt:variant>
      <vt:variant>
        <vt:lpwstr/>
      </vt:variant>
      <vt:variant>
        <vt:i4>7864373</vt:i4>
      </vt:variant>
      <vt:variant>
        <vt:i4>120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https://www.centralbank.ie/docs/default-source/regulation/industry-market-sectors/insurance-reinsurance/solvency-ii/national-specific-templates/dpm-and-taxonomy---version-1.5.0/1-5-0-xbrl-taxonomy-documentation.doc</vt:lpwstr>
      </vt:variant>
      <vt:variant>
        <vt:lpwstr/>
      </vt:variant>
      <vt:variant>
        <vt:i4>5505050</vt:i4>
      </vt:variant>
      <vt:variant>
        <vt:i4>117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https://www.centralbank.ie/docs/default-source/regulation/industry-market-sectors/insurance-reinsurance/solvency-ii/national-specific-templates/dpm-and-taxonomy---version-1.5.0/nst-1-5-0-dpm-documentation.doc</vt:lpwstr>
      </vt:variant>
      <vt:variant>
        <vt:lpwstr/>
      </vt:variant>
      <vt:variant>
        <vt:i4>4390915</vt:i4>
      </vt:variant>
      <vt:variant>
        <vt:i4>114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https://www.centralbank.ie/docs/default-source/regulation/industry-market-sectors/insurance-reinsurance/solvency-ii/national-specific-templates/dpm-and-taxonomy---version-1.5.0/nst-1-5-0-list-of-known-issues.xlsx</vt:lpwstr>
      </vt:variant>
      <vt:variant>
        <vt:lpwstr/>
      </vt:variant>
      <vt:variant>
        <vt:i4>7405669</vt:i4>
      </vt:variant>
      <vt:variant>
        <vt:i4>111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https://www.centralbank.ie/docs/default-source/regulation/industry-market-sectors/insurance-reinsurance/solvency-ii/national-specific-templates/dpm-and-taxonomy---version-1.5.0/nst-1-5-0-list-of-validations.xlsx</vt:lpwstr>
      </vt:variant>
      <vt:variant>
        <vt:lpwstr/>
      </vt:variant>
      <vt:variant>
        <vt:i4>7798830</vt:i4>
      </vt:variant>
      <vt:variant>
        <vt:i4>108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https://www.centralbank.ie/docs/default-source/regulation/industry-market-sectors/insurance-reinsurance/solvency-ii/national-specific-templates/dpm-and-taxonomy---version-1.5.0/nst-1-5-0-xbrl-test-instance-documents.zip</vt:lpwstr>
      </vt:variant>
      <vt:variant>
        <vt:lpwstr/>
      </vt:variant>
      <vt:variant>
        <vt:i4>1703952</vt:i4>
      </vt:variant>
      <vt:variant>
        <vt:i4>105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https://www.centralbank.ie/docs/default-source/regulation/industry-market-sectors/insurance-reinsurance/solvency-ii/national-specific-templates/dpm-and-taxonomy---version-1.5.0/nst-1-5-0-xbrl-taxonomy-package.zip</vt:lpwstr>
      </vt:variant>
      <vt:variant>
        <vt:lpwstr/>
      </vt:variant>
      <vt:variant>
        <vt:i4>7864373</vt:i4>
      </vt:variant>
      <vt:variant>
        <vt:i4>102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https://www.centralbank.ie/docs/default-source/regulation/industry-market-sectors/insurance-reinsurance/solvency-ii/national-specific-templates/dpm-and-taxonomy---version-1.5.0/1-5-0-xbrl-taxonomy-documentation.doc</vt:lpwstr>
      </vt:variant>
      <vt:variant>
        <vt:lpwstr/>
      </vt:variant>
      <vt:variant>
        <vt:i4>1376322</vt:i4>
      </vt:variant>
      <vt:variant>
        <vt:i4>99</vt:i4>
      </vt:variant>
      <vt:variant>
        <vt:i4>0</vt:i4>
      </vt:variant>
      <vt:variant>
        <vt:i4>5</vt:i4>
      </vt:variant>
      <vt:variant>
        <vt:lpwstr>hhttps://www.centralbank.ie/docs/default-source/regulation/industry-market-sectors/insurance-reinsurance/solvency-ii/national-specific-templates/dpm-and-taxonomy---version-1.5.0/nst-1-5-0-annotated-templates.xlsx</vt:lpwstr>
      </vt:variant>
      <vt:variant>
        <vt:lpwstr/>
      </vt:variant>
      <vt:variant>
        <vt:i4>7929898</vt:i4>
      </vt:variant>
      <vt:variant>
        <vt:i4>96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https://www.centralbank.ie/docs/default-source/regulation/industry-market-sectors/insurance-reinsurance/solvency-ii/national-specific-templates/dpm-and-taxonomy---version-1.5.0/nst-1-5-0-dpm-dictionary.xlsx</vt:lpwstr>
      </vt:variant>
      <vt:variant>
        <vt:lpwstr/>
      </vt:variant>
      <vt:variant>
        <vt:i4>5505050</vt:i4>
      </vt:variant>
      <vt:variant>
        <vt:i4>93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https://www.centralbank.ie/docs/default-source/regulation/industry-market-sectors/insurance-reinsurance/solvency-ii/national-specific-templates/dpm-and-taxonomy---version-1.5.0/nst-1-5-0-dpm-documentation.doc</vt:lpwstr>
      </vt:variant>
      <vt:variant>
        <vt:lpwstr/>
      </vt:variant>
      <vt:variant>
        <vt:i4>1114237</vt:i4>
      </vt:variant>
      <vt:variant>
        <vt:i4>90</vt:i4>
      </vt:variant>
      <vt:variant>
        <vt:i4>0</vt:i4>
      </vt:variant>
      <vt:variant>
        <vt:i4>5</vt:i4>
      </vt:variant>
      <vt:variant>
        <vt:lpwstr>https://www.centralbank.ie/docs/default-source/statistics/statistical-reporting-requirements/insurance-corporations/nst-13-notes-on-compilation.pdf?sfvrsn=e1cad61d_18</vt:lpwstr>
      </vt:variant>
      <vt:variant>
        <vt:lpwstr/>
      </vt:variant>
      <vt:variant>
        <vt:i4>8257604</vt:i4>
      </vt:variant>
      <vt:variant>
        <vt:i4>87</vt:i4>
      </vt:variant>
      <vt:variant>
        <vt:i4>0</vt:i4>
      </vt:variant>
      <vt:variant>
        <vt:i4>5</vt:i4>
      </vt:variant>
      <vt:variant>
        <vt:lpwstr>https://www.centralbank.ie/docs/default-source/statistics/statistical-reporting-requirements/insurance-corporations/nst-12-notes-on-compilation.pdf?sfvrsn=39cad61d_8</vt:lpwstr>
      </vt:variant>
      <vt:variant>
        <vt:lpwstr/>
      </vt:variant>
      <vt:variant>
        <vt:i4>1507343</vt:i4>
      </vt:variant>
      <vt:variant>
        <vt:i4>84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https://www.centralbank.ie/docs/default-source/regulation/industry-market-sectors/insurance-reinsurance/solvency-ii/national-specific-templates/nst.14-tech-spec.pdf?sfvrsn=4</vt:lpwstr>
      </vt:variant>
      <vt:variant>
        <vt:lpwstr/>
      </vt:variant>
      <vt:variant>
        <vt:i4>7602184</vt:i4>
      </vt:variant>
      <vt:variant>
        <vt:i4>81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https://www.centralbank.ie/docs/default-source/regulation/industry-market-sectors/insurance-reinsurance/solvency-ii/national-specific-templates/nst-11-tech-spec.pdf?sfvrsn=5486d11d_2</vt:lpwstr>
      </vt:variant>
      <vt:variant>
        <vt:lpwstr/>
      </vt:variant>
      <vt:variant>
        <vt:i4>2031721</vt:i4>
      </vt:variant>
      <vt:variant>
        <vt:i4>78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https://www.centralbank.ie/docs/default-source/regulation/industry-market-sectors/insurance-reinsurance/solvency-ii/national-specific-templates/nst8-10-tech-spec.pdf?sfvrsn=dd86d11d_2</vt:lpwstr>
      </vt:variant>
      <vt:variant>
        <vt:lpwstr/>
      </vt:variant>
      <vt:variant>
        <vt:i4>7405657</vt:i4>
      </vt:variant>
      <vt:variant>
        <vt:i4>75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https://www.centralbank.ie/docs/default-source/regulation/industry-market-sectors/insurance-reinsurance/solvency-ii/national-specific-templates/nst-07-tech-spec.pdf?sfvrsn=e386d11d_6</vt:lpwstr>
      </vt:variant>
      <vt:variant>
        <vt:lpwstr/>
      </vt:variant>
      <vt:variant>
        <vt:i4>3014745</vt:i4>
      </vt:variant>
      <vt:variant>
        <vt:i4>72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https://www.centralbank.ie/docs/default-source/regulation/industry-market-sectors/insurance-reinsurance/solvency-ii/national-specific-templates/nst-06-tech-spec.pdf?sfvrsn=ec86d11d_8</vt:lpwstr>
      </vt:variant>
      <vt:variant>
        <vt:lpwstr/>
      </vt:variant>
      <vt:variant>
        <vt:i4>7733333</vt:i4>
      </vt:variant>
      <vt:variant>
        <vt:i4>69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https://www.centralbank.ie/docs/default-source/regulation/industry-market-sectors/insurance-reinsurance/solvency-ii/national-specific-templates/nst-05-tech-spec.pdf?sfvrsn=51d5d71d_4</vt:lpwstr>
      </vt:variant>
      <vt:variant>
        <vt:lpwstr/>
      </vt:variant>
      <vt:variant>
        <vt:i4>2359304</vt:i4>
      </vt:variant>
      <vt:variant>
        <vt:i4>66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https://www.centralbank.ie/docs/default-source/regulation/industry-market-sectors/insurance-reinsurance/solvency-ii/national-specific-templates/nst-04-tech-spec.pdf?sfvrsn=4e86d11d_6</vt:lpwstr>
      </vt:variant>
      <vt:variant>
        <vt:lpwstr/>
      </vt:variant>
      <vt:variant>
        <vt:i4>5308526</vt:i4>
      </vt:variant>
      <vt:variant>
        <vt:i4>63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https://www.centralbank.ie/docs/default-source/regulation/industry-market-sectors/insurance-reinsurance/solvency-ii/national-specific-templates/nst-03.pdf?sfvrsn=d086d11d_8</vt:lpwstr>
      </vt:variant>
      <vt:variant>
        <vt:lpwstr/>
      </vt:variant>
      <vt:variant>
        <vt:i4>8257581</vt:i4>
      </vt:variant>
      <vt:variant>
        <vt:i4>60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https://www.centralbank.ie/docs/default-source/regulation/industry-market-sectors/insurance-reinsurance/solvency-ii/national-specific-templates/nst.02-tech-spec-quarterly.pdf?sfvrsn=4</vt:lpwstr>
      </vt:variant>
      <vt:variant>
        <vt:lpwstr/>
      </vt:variant>
      <vt:variant>
        <vt:i4>1179662</vt:i4>
      </vt:variant>
      <vt:variant>
        <vt:i4>57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https://www.centralbank.ie/docs/default-source/regulation/industry-market-sectors/insurance-reinsurance/solvency-ii/national-specific-templates/nst-02-tech-spec.pdf?sfvrsn=4</vt:lpwstr>
      </vt:variant>
      <vt:variant>
        <vt:lpwstr/>
      </vt:variant>
      <vt:variant>
        <vt:i4>4784161</vt:i4>
      </vt:variant>
      <vt:variant>
        <vt:i4>54</vt:i4>
      </vt:variant>
      <vt:variant>
        <vt:i4>0</vt:i4>
      </vt:variant>
      <vt:variant>
        <vt:i4>5</vt:i4>
      </vt:variant>
      <vt:variant>
        <vt:lpwstr>https://www.centralbank.ie/docs/default-source/regulation/industry-market-sectors/insurance-reinsurance/solvency-ii/national-specific-templates/nst-01-tech-spec-quarterly.pdf?sfvrsn=212bb11d_14</vt:lpwstr>
      </vt:variant>
      <vt:variant>
        <vt:lpwstr/>
      </vt:variant>
      <vt:variant>
        <vt:i4>5439497</vt:i4>
      </vt:variant>
      <vt:variant>
        <vt:i4>51</vt:i4>
      </vt:variant>
      <vt:variant>
        <vt:i4>0</vt:i4>
      </vt:variant>
      <vt:variant>
        <vt:i4>5</vt:i4>
      </vt:variant>
      <vt:variant>
        <vt:lpwstr>http://www.centralbank.ie/docs/default-source/regulation/industry-market-sectors/insurance-reinsurance/solvency-ii/national-specific-templates/nst-01-tech-spec.pdf?sfvrsn=6</vt:lpwstr>
      </vt:variant>
      <vt:variant>
        <vt:lpwstr/>
      </vt:variant>
      <vt:variant>
        <vt:i4>6291539</vt:i4>
      </vt:variant>
      <vt:variant>
        <vt:i4>48</vt:i4>
      </vt:variant>
      <vt:variant>
        <vt:i4>0</vt:i4>
      </vt:variant>
      <vt:variant>
        <vt:i4>5</vt:i4>
      </vt:variant>
      <vt:variant>
        <vt:lpwstr>mailto:SIITestReturns@centralbank.ie</vt:lpwstr>
      </vt:variant>
      <vt:variant>
        <vt:lpwstr/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_Toc24034821</vt:lpwstr>
      </vt:variant>
      <vt:variant>
        <vt:i4>1572916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_Toc24034820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_Toc24034819</vt:lpwstr>
      </vt:variant>
      <vt:variant>
        <vt:i4>1048631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_Toc24034818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_Toc24034817</vt:lpwstr>
      </vt:variant>
      <vt:variant>
        <vt:i4>1966135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_Toc24034816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_Toc24034815</vt:lpwstr>
      </vt:variant>
      <vt:variant>
        <vt:i4>1835063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_Toc24034814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_Toc24034813</vt:lpwstr>
      </vt:variant>
      <vt:variant>
        <vt:i4>1703991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_Toc24034812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_Toc24034811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_Toc24034810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_Toc24034809</vt:lpwstr>
      </vt:variant>
      <vt:variant>
        <vt:i4>4325438</vt:i4>
      </vt:variant>
      <vt:variant>
        <vt:i4>9</vt:i4>
      </vt:variant>
      <vt:variant>
        <vt:i4>0</vt:i4>
      </vt:variant>
      <vt:variant>
        <vt:i4>5</vt:i4>
      </vt:variant>
      <vt:variant>
        <vt:lpwstr>https://dev.eiopa.europa.eu/Taxonomy/Full/2.7.0/S2/EIOPA_SolvencyII_XBRL_Taxonomy_2.7.0_hotfix.zip</vt:lpwstr>
      </vt:variant>
      <vt:variant>
        <vt:lpwstr/>
      </vt:variant>
      <vt:variant>
        <vt:i4>3735642</vt:i4>
      </vt:variant>
      <vt:variant>
        <vt:i4>6</vt:i4>
      </vt:variant>
      <vt:variant>
        <vt:i4>0</vt:i4>
      </vt:variant>
      <vt:variant>
        <vt:i4>5</vt:i4>
      </vt:variant>
      <vt:variant>
        <vt:lpwstr>https://dev.eiopa.europa.eu/Taxonomy/Full/2.7.0/S2/EIOPA_SolvencyII_DPM_Annotated_Templates_2.7.0.xlsx</vt:lpwstr>
      </vt:variant>
      <vt:variant>
        <vt:lpwstr/>
      </vt:variant>
      <vt:variant>
        <vt:i4>5701754</vt:i4>
      </vt:variant>
      <vt:variant>
        <vt:i4>3</vt:i4>
      </vt:variant>
      <vt:variant>
        <vt:i4>0</vt:i4>
      </vt:variant>
      <vt:variant>
        <vt:i4>5</vt:i4>
      </vt:variant>
      <vt:variant>
        <vt:lpwstr>https://dev.eiopa.europa.eu/Taxonomy/Full/2.7.0/Common/EIOPA_DPM_Dictionary_2.7.0.xlsx</vt:lpwstr>
      </vt:variant>
      <vt:variant>
        <vt:lpwstr/>
      </vt:variant>
      <vt:variant>
        <vt:i4>1441796</vt:i4>
      </vt:variant>
      <vt:variant>
        <vt:i4>0</vt:i4>
      </vt:variant>
      <vt:variant>
        <vt:i4>0</vt:i4>
      </vt:variant>
      <vt:variant>
        <vt:i4>5</vt:i4>
      </vt:variant>
      <vt:variant>
        <vt:lpwstr>https://eiopa.europa.eu/regulation-supervision/insurance/reporting-format</vt:lpwstr>
      </vt:variant>
      <vt:variant>
        <vt:lpwstr/>
      </vt:variant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http://www.centralbank.ie/</vt:lpwstr>
      </vt:variant>
      <vt:variant>
        <vt:lpwstr/>
      </vt:variant>
      <vt:variant>
        <vt:i4>1179680</vt:i4>
      </vt:variant>
      <vt:variant>
        <vt:i4>0</vt:i4>
      </vt:variant>
      <vt:variant>
        <vt:i4>0</vt:i4>
      </vt:variant>
      <vt:variant>
        <vt:i4>5</vt:i4>
      </vt:variant>
      <vt:variant>
        <vt:lpwstr>mailto:xxx@centralbank.ie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Emmet</dc:creator>
  <cp:keywords>Public</cp:keywords>
  <dc:description/>
  <cp:lastModifiedBy>Devine, Colm</cp:lastModifiedBy>
  <cp:revision>2</cp:revision>
  <cp:lastPrinted>2018-03-27T18:20:00Z</cp:lastPrinted>
  <dcterms:created xsi:type="dcterms:W3CDTF">2023-06-21T11:32:00Z</dcterms:created>
  <dcterms:modified xsi:type="dcterms:W3CDTF">2023-06-21T11:32:00Z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d4b61014-3724-4566-9e58-654508eaf63c</vt:lpwstr>
  </property>
  <property fmtid="{D5CDD505-2E9C-101B-9397-08002B2CF9AE}" pid="3" name="bjSaver">
    <vt:lpwstr>izTU/sF2A0Br28u+EhLAVaV4x7ANGQY8</vt:lpwstr>
  </property>
  <property fmtid="{D5CDD505-2E9C-101B-9397-08002B2CF9AE}" pid="4" name="bjClsUserRVM">
    <vt:lpwstr>[]</vt:lpwstr>
  </property>
  <property fmtid="{D5CDD505-2E9C-101B-9397-08002B2CF9AE}" pid="5" name="bjDocumentSecurityLabel">
    <vt:lpwstr>Public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policy="a586b747-2a7c-4f57-bcd1-e81df5c8c005" origin="userSelected" xmlns="http://www.boldonj</vt:lpwstr>
  </property>
  <property fmtid="{D5CDD505-2E9C-101B-9397-08002B2CF9AE}" pid="7" name="bjDocumentLabelXML-0">
    <vt:lpwstr>ames.com/2008/01/sie/internal/label"&gt;&lt;element uid="33ed6465-8d2f-4fab-bbbc-787e2c148707" value="" /&gt;&lt;element uid="28c775dd-3fa7-40f2-8368-0e7fa48abc25" value="" /&gt;&lt;/sisl&gt;</vt:lpwstr>
  </property>
  <property fmtid="{D5CDD505-2E9C-101B-9397-08002B2CF9AE}" pid="8" name="bjHeaderBothDocProperty">
    <vt:lpwstr> </vt:lpwstr>
  </property>
  <property fmtid="{D5CDD505-2E9C-101B-9397-08002B2CF9AE}" pid="9" name="bjHeaderFirstPageDocProperty">
    <vt:lpwstr> </vt:lpwstr>
  </property>
  <property fmtid="{D5CDD505-2E9C-101B-9397-08002B2CF9AE}" pid="10" name="bjHeaderEvenPageDocProperty">
    <vt:lpwstr> </vt:lpwstr>
  </property>
  <property fmtid="{D5CDD505-2E9C-101B-9397-08002B2CF9AE}" pid="11" name="_AdHocReviewCycleID">
    <vt:i4>-1690986994</vt:i4>
  </property>
  <property fmtid="{D5CDD505-2E9C-101B-9397-08002B2CF9AE}" pid="12" name="_NewReviewCycle">
    <vt:lpwstr/>
  </property>
  <property fmtid="{D5CDD505-2E9C-101B-9397-08002B2CF9AE}" pid="13" name="_EmailSubject">
    <vt:lpwstr>NST Release Notes June 2023 update</vt:lpwstr>
  </property>
  <property fmtid="{D5CDD505-2E9C-101B-9397-08002B2CF9AE}" pid="14" name="_AuthorEmail">
    <vt:lpwstr>colm.devine@centralbank.ie</vt:lpwstr>
  </property>
  <property fmtid="{D5CDD505-2E9C-101B-9397-08002B2CF9AE}" pid="15" name="_AuthorEmailDisplayName">
    <vt:lpwstr>Devine, Colm</vt:lpwstr>
  </property>
</Properties>
</file>